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853A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38E883E">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E2BB442">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11.100 </w:t>
            </w:r>
            <w:r>
              <w:rPr>
                <w:rFonts w:ascii="黑体" w:hAnsi="黑体" w:eastAsia="黑体"/>
                <w:sz w:val="21"/>
                <w:szCs w:val="21"/>
              </w:rPr>
              <w:fldChar w:fldCharType="end"/>
            </w:r>
            <w:bookmarkEnd w:id="0"/>
          </w:p>
        </w:tc>
      </w:tr>
      <w:tr w14:paraId="369DA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7FE144C">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7F6A9C4">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C08</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7F62BB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90415AB">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50</w:t>
            </w:r>
            <w:r>
              <w:fldChar w:fldCharType="end"/>
            </w:r>
            <w:bookmarkEnd w:id="3"/>
          </w:p>
        </w:tc>
      </w:tr>
    </w:tbl>
    <w:p w14:paraId="271A4380">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重庆市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F87B264">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50/T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2024</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920451A">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BE6CCAB">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83F4CF9">
      <w:pPr>
        <w:pStyle w:val="50"/>
        <w:framePr w:w="9639" w:h="6976" w:hRule="exact" w:hSpace="0" w:vSpace="0" w:wrap="around" w:hAnchor="page" w:y="6408"/>
        <w:jc w:val="center"/>
        <w:rPr>
          <w:rFonts w:ascii="黑体" w:hAnsi="黑体" w:eastAsia="黑体"/>
          <w:b w:val="0"/>
          <w:bCs w:val="0"/>
          <w:w w:val="100"/>
        </w:rPr>
      </w:pPr>
    </w:p>
    <w:p w14:paraId="561551A2">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人间传染的高致病性病原微生物</w:t>
      </w:r>
    </w:p>
    <w:p w14:paraId="1BEB58B9">
      <w:pPr>
        <w:pStyle w:val="197"/>
        <w:framePr w:h="6974" w:hRule="exact" w:wrap="around" w:x="1419" w:anchorLock="1"/>
      </w:pPr>
      <w:r>
        <w:t>菌（毒）种或样本保存技术规范</w:t>
      </w:r>
      <w:r>
        <w:fldChar w:fldCharType="end"/>
      </w:r>
      <w:bookmarkEnd w:id="9"/>
    </w:p>
    <w:p w14:paraId="661F15D3">
      <w:pPr>
        <w:framePr w:w="9639" w:h="6974" w:hRule="exact" w:wrap="around" w:vAnchor="page" w:hAnchor="page" w:x="1419" w:y="6408" w:anchorLock="1"/>
        <w:ind w:left="-1418"/>
      </w:pPr>
    </w:p>
    <w:p w14:paraId="0321A8A5">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specification for the preservation of highly pathogenic microbial species (viruses) or samples transmitted between humans     </w:t>
      </w:r>
      <w:r>
        <w:rPr>
          <w:rFonts w:ascii="黑体" w:hAnsi="黑体" w:eastAsia="黑体"/>
          <w:szCs w:val="28"/>
        </w:rPr>
        <w:fldChar w:fldCharType="end"/>
      </w:r>
      <w:bookmarkEnd w:id="10"/>
    </w:p>
    <w:p w14:paraId="6F669C6F">
      <w:pPr>
        <w:framePr w:w="9639" w:h="6974" w:hRule="exact" w:wrap="around" w:vAnchor="page" w:hAnchor="page" w:x="1419" w:y="6408" w:anchorLock="1"/>
        <w:spacing w:line="760" w:lineRule="exact"/>
        <w:ind w:left="-1418"/>
      </w:pPr>
    </w:p>
    <w:p w14:paraId="72B11FE6">
      <w:pPr>
        <w:pStyle w:val="125"/>
        <w:framePr w:w="9639" w:h="6974" w:hRule="exact" w:wrap="around" w:vAnchor="page" w:hAnchor="page" w:x="1419" w:y="6408" w:anchorLock="1"/>
        <w:textAlignment w:val="bottom"/>
        <w:rPr>
          <w:rFonts w:eastAsia="黑体"/>
          <w:szCs w:val="28"/>
        </w:rPr>
      </w:pPr>
    </w:p>
    <w:p w14:paraId="352EB81A">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0C7AA38">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（2</w:t>
      </w:r>
      <w:r>
        <w:rPr>
          <w:sz w:val="21"/>
          <w:szCs w:val="28"/>
        </w:rPr>
        <w:t>0240820</w:t>
      </w:r>
      <w:r>
        <w:rPr>
          <w:rFonts w:hint="eastAsia"/>
          <w:sz w:val="21"/>
          <w:szCs w:val="28"/>
        </w:rPr>
        <w:t>）</w:t>
      </w:r>
      <w:r>
        <w:rPr>
          <w:sz w:val="21"/>
          <w:szCs w:val="28"/>
        </w:rPr>
        <w:fldChar w:fldCharType="end"/>
      </w:r>
      <w:bookmarkEnd w:id="12"/>
    </w:p>
    <w:p w14:paraId="184E5D81">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760FED2">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08</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095FDE8">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76B0A8E">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重庆市</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0531727D">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5D7F353">
      <w:pPr>
        <w:pStyle w:val="89"/>
        <w:spacing w:before="900" w:after="468"/>
      </w:pPr>
      <w:bookmarkStart w:id="21" w:name="BookMark2"/>
      <w:r>
        <w:rPr>
          <w:spacing w:val="320"/>
        </w:rPr>
        <w:t>前</w:t>
      </w:r>
      <w:r>
        <w:t>言</w:t>
      </w:r>
    </w:p>
    <w:p w14:paraId="48B6B1FC">
      <w:pPr>
        <w:pStyle w:val="56"/>
        <w:ind w:firstLine="420"/>
      </w:pPr>
      <w:r>
        <w:rPr>
          <w:rFonts w:hint="eastAsia"/>
        </w:rPr>
        <w:t>本文件按照GB/T 1.1—2020《标准化工作导则  第1部分：标准化文件的结构和起草规则》的规定起草。</w:t>
      </w:r>
    </w:p>
    <w:p w14:paraId="2FF429CA">
      <w:pPr>
        <w:pStyle w:val="56"/>
        <w:ind w:firstLine="420"/>
      </w:pPr>
      <w:r>
        <w:rPr>
          <w:rFonts w:hint="eastAsia"/>
        </w:rPr>
        <w:t>本文件由重庆市人口和计划生育科学技术研究院提出。</w:t>
      </w:r>
    </w:p>
    <w:p w14:paraId="7201AA3F">
      <w:pPr>
        <w:pStyle w:val="56"/>
        <w:ind w:firstLine="420"/>
      </w:pPr>
      <w:r>
        <w:t>本文件由重庆市卫生健康委组织实施。</w:t>
      </w:r>
    </w:p>
    <w:p w14:paraId="48E68036">
      <w:pPr>
        <w:pStyle w:val="56"/>
        <w:ind w:firstLine="420"/>
      </w:pPr>
      <w:r>
        <w:rPr>
          <w:rFonts w:hint="eastAsia"/>
        </w:rPr>
        <w:t>本文件由重庆市市场监督管理局归口。</w:t>
      </w:r>
    </w:p>
    <w:p w14:paraId="36072C88">
      <w:pPr>
        <w:pStyle w:val="56"/>
        <w:ind w:firstLine="420"/>
      </w:pPr>
      <w:r>
        <w:rPr>
          <w:rFonts w:hint="eastAsia"/>
        </w:rPr>
        <w:t>本文件起草单位：重庆市人口和计划生育科学技术研究院、重庆市疾病预防控制中心、重庆市人民医院。</w:t>
      </w:r>
    </w:p>
    <w:p w14:paraId="5E3678A0">
      <w:pPr>
        <w:pStyle w:val="56"/>
        <w:ind w:firstLine="420"/>
      </w:pPr>
      <w:r>
        <w:rPr>
          <w:rFonts w:hint="eastAsia"/>
        </w:rPr>
        <w:t>本文件主要起草人：朱一剑、廖春艳、胡黎黎、廖爱玲、向尧、孙丹、李征、李志峰、凌华、周全华、徐兰兰。</w:t>
      </w:r>
    </w:p>
    <w:p w14:paraId="402F38AB">
      <w:pPr>
        <w:pStyle w:val="56"/>
        <w:ind w:firstLine="420"/>
      </w:pPr>
    </w:p>
    <w:p w14:paraId="34029F54">
      <w:pPr>
        <w:pStyle w:val="56"/>
        <w:ind w:firstLine="42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bookmarkStart w:id="45" w:name="_GoBack"/>
      <w:bookmarkEnd w:id="45"/>
    </w:p>
    <w:bookmarkEnd w:id="21"/>
    <w:p w14:paraId="30A3C24B">
      <w:pPr>
        <w:spacing w:line="20" w:lineRule="exact"/>
        <w:rPr>
          <w:rFonts w:ascii="黑体" w:hAnsi="黑体" w:eastAsia="黑体"/>
          <w:sz w:val="32"/>
          <w:szCs w:val="32"/>
        </w:rPr>
      </w:pPr>
      <w:bookmarkStart w:id="22" w:name="BookMark4"/>
    </w:p>
    <w:p w14:paraId="6C481065">
      <w:pPr>
        <w:spacing w:line="20" w:lineRule="exact"/>
        <w:jc w:val="center"/>
        <w:rPr>
          <w:rFonts w:ascii="黑体" w:hAnsi="黑体" w:eastAsia="黑体"/>
          <w:sz w:val="32"/>
          <w:szCs w:val="32"/>
        </w:rPr>
      </w:pPr>
    </w:p>
    <w:sdt>
      <w:sdtPr>
        <w:tag w:val="NEW_STAND_NAME"/>
        <w:id w:val="595910757"/>
        <w:lock w:val="sdtLocked"/>
        <w:placeholder>
          <w:docPart w:val="0917B4A6CD304406BB15FB6BC4025DC9"/>
        </w:placeholder>
      </w:sdtPr>
      <w:sdtContent>
        <w:p w14:paraId="6A9093A2">
          <w:pPr>
            <w:pStyle w:val="177"/>
            <w:bidi w:val="0"/>
            <w:spacing w:before="313" w:beforeLines="100" w:after="4" w:afterLines="1"/>
            <w:rPr>
              <w:rFonts w:hint="eastAsia"/>
              <w:lang w:eastAsia="zh-CN"/>
            </w:rPr>
          </w:pPr>
          <w:bookmarkStart w:id="23" w:name="NEW_STAND_NAME"/>
          <w:r>
            <w:rPr>
              <w:rFonts w:hint="eastAsia"/>
              <w:lang w:eastAsia="zh-CN"/>
            </w:rPr>
            <w:t>人间传染的高致病性病原微生物</w:t>
          </w:r>
        </w:p>
        <w:p w14:paraId="760A1EBA">
          <w:pPr>
            <w:pStyle w:val="177"/>
            <w:bidi w:val="0"/>
            <w:spacing w:before="4" w:beforeLines="1" w:after="680"/>
          </w:pPr>
          <w:r>
            <w:rPr>
              <w:rFonts w:hint="eastAsia"/>
              <w:lang w:eastAsia="zh-CN"/>
            </w:rPr>
            <w:t>菌（毒）种或样本保存技术规范</w:t>
          </w:r>
        </w:p>
      </w:sdtContent>
    </w:sdt>
    <w:bookmarkEnd w:id="23"/>
    <w:p w14:paraId="7BFBEDD5">
      <w:pPr>
        <w:pStyle w:val="104"/>
        <w:spacing w:before="312" w:after="312"/>
      </w:pPr>
      <w:bookmarkStart w:id="24" w:name="_Toc97191423"/>
      <w:bookmarkStart w:id="25" w:name="_Toc26986771"/>
      <w:bookmarkStart w:id="26" w:name="_Toc17233325"/>
      <w:bookmarkStart w:id="27" w:name="_Toc17233333"/>
      <w:bookmarkStart w:id="28" w:name="_Toc24884211"/>
      <w:bookmarkStart w:id="29" w:name="_Toc26648465"/>
      <w:bookmarkStart w:id="30" w:name="_Toc26718930"/>
      <w:bookmarkStart w:id="31" w:name="_Toc24884218"/>
      <w:bookmarkStart w:id="32" w:name="_Toc26986530"/>
      <w:r>
        <w:rPr>
          <w:rFonts w:hint="eastAsia"/>
        </w:rPr>
        <w:t>范围</w:t>
      </w:r>
      <w:bookmarkEnd w:id="24"/>
      <w:bookmarkEnd w:id="25"/>
      <w:bookmarkEnd w:id="26"/>
      <w:bookmarkEnd w:id="27"/>
      <w:bookmarkEnd w:id="28"/>
      <w:bookmarkEnd w:id="29"/>
      <w:bookmarkEnd w:id="30"/>
      <w:bookmarkEnd w:id="31"/>
      <w:bookmarkEnd w:id="32"/>
    </w:p>
    <w:p w14:paraId="1E18F10B">
      <w:pPr>
        <w:pStyle w:val="56"/>
        <w:ind w:firstLine="420"/>
      </w:pPr>
      <w:bookmarkStart w:id="33" w:name="_Toc24884212"/>
      <w:bookmarkStart w:id="34" w:name="_Toc17233334"/>
      <w:bookmarkStart w:id="35" w:name="_Toc26648466"/>
      <w:bookmarkStart w:id="36" w:name="_Toc24884219"/>
      <w:bookmarkStart w:id="37" w:name="_Toc17233326"/>
      <w:r>
        <w:rPr>
          <w:rFonts w:hint="eastAsia"/>
        </w:rPr>
        <w:t>本文件规定了人间传染的高致病性病原微生物菌（毒）种或样本运输后接收、保存的基本要求。</w:t>
      </w:r>
    </w:p>
    <w:p w14:paraId="0810A532">
      <w:pPr>
        <w:pStyle w:val="56"/>
        <w:ind w:firstLine="420"/>
      </w:pPr>
      <w:r>
        <w:rPr>
          <w:rFonts w:hint="eastAsia"/>
        </w:rPr>
        <w:t>本文件适用于重庆市辖区人间传染的高致病性病原微生物菌（毒）种或样本运输后接收和保存。</w:t>
      </w:r>
    </w:p>
    <w:p w14:paraId="4B3C7047">
      <w:pPr>
        <w:pStyle w:val="104"/>
        <w:spacing w:before="312" w:after="312"/>
      </w:pPr>
      <w:bookmarkStart w:id="38" w:name="_Toc26986772"/>
      <w:bookmarkStart w:id="39" w:name="_Toc97191424"/>
      <w:bookmarkStart w:id="40" w:name="_Toc26718931"/>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1E1B1504F2E9478EBF8D79ED48F1E75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5626853">
          <w:pPr>
            <w:pStyle w:val="56"/>
            <w:ind w:firstLine="420"/>
          </w:pPr>
          <w:r>
            <w:rPr>
              <w:rFonts w:hint="eastAsia"/>
            </w:rPr>
            <w:t>本文件没有规范性引用文件。</w:t>
          </w:r>
        </w:p>
      </w:sdtContent>
    </w:sdt>
    <w:p w14:paraId="3C082F17">
      <w:pPr>
        <w:pStyle w:val="56"/>
        <w:ind w:firstLine="420"/>
      </w:pPr>
    </w:p>
    <w:p w14:paraId="2FD32037">
      <w:pPr>
        <w:pStyle w:val="104"/>
        <w:spacing w:before="312" w:after="312"/>
      </w:pPr>
      <w:bookmarkStart w:id="42" w:name="_Toc97191425"/>
      <w:r>
        <w:rPr>
          <w:rFonts w:hint="eastAsia"/>
          <w:szCs w:val="21"/>
        </w:rPr>
        <w:t>术语和定义</w:t>
      </w:r>
      <w:bookmarkEnd w:id="42"/>
    </w:p>
    <w:sdt>
      <w:sdtPr>
        <w:id w:val="-1909835108"/>
        <w:placeholder>
          <w:docPart w:val="1F44B80E88884173A47B11F6F6A85A8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ADFABEA">
          <w:pPr>
            <w:pStyle w:val="56"/>
            <w:ind w:firstLine="420"/>
          </w:pPr>
          <w:bookmarkStart w:id="43" w:name="_Toc26986532"/>
          <w:bookmarkEnd w:id="43"/>
          <w:r>
            <w:t>下列术语和定义适用于本文件。</w:t>
          </w:r>
        </w:p>
      </w:sdtContent>
    </w:sdt>
    <w:p w14:paraId="7617A505">
      <w:pPr>
        <w:pStyle w:val="105"/>
        <w:spacing w:before="156" w:after="156"/>
      </w:pPr>
      <w:r>
        <w:rPr>
          <w:rFonts w:hint="eastAsia"/>
        </w:rPr>
        <w:t>人间传染的高致病性病原微生物菌（毒）种或样本  highly pathogenic microorganism or samples transmitted between humans</w:t>
      </w:r>
    </w:p>
    <w:p w14:paraId="02CE0C58">
      <w:pPr>
        <w:pStyle w:val="56"/>
        <w:ind w:firstLine="420"/>
        <w:rPr>
          <w:color w:val="000000"/>
          <w:szCs w:val="21"/>
        </w:rPr>
      </w:pPr>
      <w:r>
        <w:rPr>
          <w:rFonts w:hint="eastAsia"/>
          <w:color w:val="000000"/>
          <w:szCs w:val="21"/>
        </w:rPr>
        <w:t>在《人间传染的病原微生物名录》中规定的第一类、第二类病原微生物菌（毒）种或样本，第三类病原微生物运输包装分类为A类的病原微生物菌（毒）种或样本，以及疑似高致病性病原微生物菌（毒）种或样本。以下简称"菌（毒）种或样本"。</w:t>
      </w:r>
    </w:p>
    <w:p w14:paraId="45C05D4B">
      <w:pPr>
        <w:pStyle w:val="105"/>
        <w:spacing w:before="156" w:after="156"/>
      </w:pPr>
      <w:r>
        <w:rPr>
          <w:rFonts w:hint="eastAsia"/>
        </w:rPr>
        <w:t>保存  storage</w:t>
      </w:r>
    </w:p>
    <w:p w14:paraId="283F83D3">
      <w:pPr>
        <w:pStyle w:val="56"/>
        <w:ind w:firstLine="420"/>
      </w:pPr>
      <w:r>
        <w:rPr>
          <w:rFonts w:hint="eastAsia"/>
        </w:rPr>
        <w:t>储存菌(毒)种或样本，维持其活性和生物学特性的活动。</w:t>
      </w:r>
    </w:p>
    <w:p w14:paraId="08781368">
      <w:pPr>
        <w:pStyle w:val="56"/>
        <w:ind w:firstLine="420"/>
      </w:pPr>
      <w:r>
        <w:rPr>
          <w:rFonts w:hint="eastAsia"/>
        </w:rPr>
        <w:t>[来源：</w:t>
      </w:r>
      <w:r>
        <w:rPr>
          <w:color w:val="000000"/>
        </w:rPr>
        <w:t>T/STRSA</w:t>
      </w:r>
      <w:r>
        <w:rPr>
          <w:rFonts w:hint="eastAsia"/>
          <w:color w:val="000000"/>
        </w:rPr>
        <w:t xml:space="preserve"> </w:t>
      </w:r>
      <w:r>
        <w:rPr>
          <w:color w:val="000000"/>
        </w:rPr>
        <w:t>007</w:t>
      </w:r>
      <w:r>
        <w:rPr>
          <w:rFonts w:hint="eastAsia"/>
          <w:color w:val="000000"/>
        </w:rPr>
        <w:t>-</w:t>
      </w:r>
      <w:r>
        <w:rPr>
          <w:color w:val="000000"/>
        </w:rPr>
        <w:t>2023</w:t>
      </w:r>
      <w:r>
        <w:rPr>
          <w:rFonts w:hint="eastAsia"/>
          <w:color w:val="000000"/>
        </w:rPr>
        <w:t>，3.9</w:t>
      </w:r>
      <w:r>
        <w:rPr>
          <w:rFonts w:hint="eastAsia"/>
        </w:rPr>
        <w:t>]</w:t>
      </w:r>
    </w:p>
    <w:p w14:paraId="257CC78C">
      <w:pPr>
        <w:pStyle w:val="104"/>
        <w:spacing w:before="312" w:after="312"/>
      </w:pPr>
      <w:r>
        <w:rPr>
          <w:rFonts w:hint="eastAsia"/>
        </w:rPr>
        <w:t>管理要求</w:t>
      </w:r>
    </w:p>
    <w:p w14:paraId="73FD5425">
      <w:pPr>
        <w:pStyle w:val="105"/>
        <w:spacing w:before="156" w:after="156"/>
      </w:pPr>
      <w:r>
        <w:rPr>
          <w:rFonts w:hint="eastAsia"/>
        </w:rPr>
        <w:t>接收单位符合</w:t>
      </w:r>
      <w:r>
        <w:rPr>
          <w:rFonts w:hint="eastAsia"/>
          <w:color w:val="000000"/>
        </w:rPr>
        <w:t>国务院卫生健康主管部门</w:t>
      </w:r>
      <w:r>
        <w:rPr>
          <w:rFonts w:hint="eastAsia"/>
        </w:rPr>
        <w:t>的规定：</w:t>
      </w:r>
    </w:p>
    <w:p w14:paraId="1D85ED15">
      <w:pPr>
        <w:pStyle w:val="132"/>
      </w:pPr>
      <w:r>
        <w:rPr>
          <w:rFonts w:hint="eastAsia"/>
        </w:rPr>
        <w:t>具有法人资格；</w:t>
      </w:r>
    </w:p>
    <w:p w14:paraId="7BF54A66">
      <w:pPr>
        <w:pStyle w:val="132"/>
      </w:pPr>
      <w:r>
        <w:rPr>
          <w:rFonts w:hint="eastAsia"/>
        </w:rPr>
        <w:t>具备从事高致病性病原微生物实验活动资格的实验室；</w:t>
      </w:r>
    </w:p>
    <w:p w14:paraId="0F0F4CC8">
      <w:pPr>
        <w:pStyle w:val="132"/>
      </w:pPr>
      <w:r>
        <w:rPr>
          <w:rFonts w:hint="eastAsia" w:cs="宋体"/>
          <w:szCs w:val="21"/>
        </w:rPr>
        <w:t>取得有关政府主管部门核发的从事高致病性病原微生物实验活动、菌（毒）种或样本保藏、生物制品生产等的批准文件。</w:t>
      </w:r>
    </w:p>
    <w:p w14:paraId="664D96F4">
      <w:pPr>
        <w:pStyle w:val="105"/>
        <w:spacing w:before="156" w:after="156"/>
      </w:pPr>
      <w:r>
        <w:rPr>
          <w:rFonts w:hint="eastAsia"/>
        </w:rPr>
        <w:t>菌（毒）种或样本接收、保存人员</w:t>
      </w:r>
    </w:p>
    <w:p w14:paraId="7C8A264B">
      <w:pPr>
        <w:pStyle w:val="165"/>
      </w:pPr>
      <w:r>
        <w:rPr>
          <w:rFonts w:hAnsi="宋体" w:cs="宋体"/>
          <w:spacing w:val="-2"/>
        </w:rPr>
        <w:t>应经过培训，经考核合格后</w:t>
      </w:r>
      <w:r>
        <w:rPr>
          <w:rFonts w:hAnsi="宋体" w:cs="宋体"/>
          <w:spacing w:val="-1"/>
        </w:rPr>
        <w:t>取得相应的上岗资质</w:t>
      </w:r>
      <w:r>
        <w:rPr>
          <w:rFonts w:hint="eastAsia" w:hAnsi="宋体" w:cs="宋体"/>
          <w:spacing w:val="-1"/>
        </w:rPr>
        <w:t>，</w:t>
      </w:r>
      <w:r>
        <w:rPr>
          <w:rFonts w:hint="eastAsia"/>
        </w:rPr>
        <w:t>由至少2名人员接收、保存和管理；</w:t>
      </w:r>
    </w:p>
    <w:p w14:paraId="47C2DD47">
      <w:pPr>
        <w:pStyle w:val="165"/>
      </w:pPr>
      <w:r>
        <w:rPr>
          <w:rFonts w:hint="eastAsia"/>
        </w:rPr>
        <w:t>应每年进行健康监测并记录留档；</w:t>
      </w:r>
    </w:p>
    <w:p w14:paraId="15680F0D">
      <w:pPr>
        <w:pStyle w:val="165"/>
      </w:pPr>
      <w:r>
        <w:rPr>
          <w:rFonts w:hint="eastAsia"/>
        </w:rPr>
        <w:t>应知晓所承担工作可能存在的风险并签署《知情同意书》，留存本底血清，实施必要的免疫接种并记录留档；</w:t>
      </w:r>
    </w:p>
    <w:p w14:paraId="30F59D7C">
      <w:pPr>
        <w:pStyle w:val="165"/>
      </w:pPr>
      <w:r>
        <w:rPr>
          <w:rFonts w:hint="eastAsia"/>
        </w:rPr>
        <w:t>应在身体状况良好的情况下进入实验区工作。若出现生病、疲劳或其他不宜进行实验活动的情况，不应进行菌（毒）种或样本接收、保存活动。</w:t>
      </w:r>
    </w:p>
    <w:p w14:paraId="2F3364C4">
      <w:pPr>
        <w:pStyle w:val="105"/>
        <w:spacing w:before="156" w:after="156"/>
      </w:pPr>
      <w:r>
        <w:rPr>
          <w:rFonts w:hint="eastAsia"/>
        </w:rPr>
        <w:t>标识</w:t>
      </w:r>
    </w:p>
    <w:p w14:paraId="7A1DF426">
      <w:pPr>
        <w:pStyle w:val="165"/>
      </w:pPr>
      <w:r>
        <w:rPr>
          <w:spacing w:val="-9"/>
          <w:szCs w:val="21"/>
        </w:rPr>
        <w:t>标识</w:t>
      </w:r>
      <w:r>
        <w:rPr>
          <w:rFonts w:hint="eastAsia"/>
          <w:spacing w:val="-9"/>
          <w:szCs w:val="21"/>
        </w:rPr>
        <w:t>应</w:t>
      </w:r>
      <w:r>
        <w:rPr>
          <w:spacing w:val="-8"/>
          <w:szCs w:val="21"/>
        </w:rPr>
        <w:t>明确、醒目和易区分</w:t>
      </w:r>
      <w:r>
        <w:rPr>
          <w:rFonts w:hint="eastAsia"/>
          <w:spacing w:val="-8"/>
          <w:szCs w:val="21"/>
        </w:rPr>
        <w:t>，并</w:t>
      </w:r>
      <w:r>
        <w:rPr>
          <w:spacing w:val="-9"/>
          <w:szCs w:val="21"/>
        </w:rPr>
        <w:t>应使用国际、国家规定的通用</w:t>
      </w:r>
      <w:r>
        <w:rPr>
          <w:rFonts w:hint="eastAsia"/>
          <w:spacing w:val="-9"/>
          <w:szCs w:val="21"/>
        </w:rPr>
        <w:t>标识</w:t>
      </w:r>
      <w:r>
        <w:rPr>
          <w:spacing w:val="-9"/>
          <w:szCs w:val="21"/>
        </w:rPr>
        <w:t>。</w:t>
      </w:r>
    </w:p>
    <w:p w14:paraId="0E5801A9">
      <w:pPr>
        <w:pStyle w:val="165"/>
      </w:pPr>
      <w:r>
        <w:rPr>
          <w:rFonts w:hint="eastAsia" w:cs="宋体"/>
          <w:szCs w:val="21"/>
        </w:rPr>
        <w:t>应合理规范的使用禁止标识、警告标识、指令标识、指示标识、专用标识等，包括但不限于：生物危害、当心腐蚀、当心高温表面、当心低温、当心高压容器、当心紫外线、当心锐器、必须加锁、紧急喷淋、洗眼装置等；需要时，同时提示必要的防护措施。</w:t>
      </w:r>
    </w:p>
    <w:p w14:paraId="439EA619">
      <w:pPr>
        <w:pStyle w:val="165"/>
      </w:pPr>
      <w:r>
        <w:rPr>
          <w:rFonts w:hint="eastAsia" w:cs="宋体"/>
          <w:szCs w:val="21"/>
        </w:rPr>
        <w:t>应在须验证或校准的实验室设备的明显位置注明设备的可用状态、验证周期、下次验证或校准的时间等信息。</w:t>
      </w:r>
    </w:p>
    <w:p w14:paraId="4BE70EBA">
      <w:pPr>
        <w:pStyle w:val="165"/>
      </w:pPr>
      <w:r>
        <w:rPr>
          <w:rFonts w:hint="eastAsia"/>
        </w:rPr>
        <w:t>所有操作开关应有明确的功能指示标识，必要时，还应采取防止误操作或恶意操作的措施。</w:t>
      </w:r>
    </w:p>
    <w:p w14:paraId="5BD0D8BA">
      <w:pPr>
        <w:pStyle w:val="165"/>
      </w:pPr>
      <w:r>
        <w:rPr>
          <w:rFonts w:hint="eastAsia" w:cs="宋体"/>
        </w:rPr>
        <w:t>应</w:t>
      </w:r>
      <w:r>
        <w:t>定期(至少每12个月一次)评审实验室标识系统，需要时及时</w:t>
      </w:r>
      <w:r>
        <w:rPr>
          <w:spacing w:val="-2"/>
        </w:rPr>
        <w:t>更新，以</w:t>
      </w:r>
      <w:r>
        <w:rPr>
          <w:spacing w:val="-6"/>
        </w:rPr>
        <w:t>确保其适用现有的危险。</w:t>
      </w:r>
    </w:p>
    <w:p w14:paraId="380C9548">
      <w:pPr>
        <w:pStyle w:val="105"/>
        <w:spacing w:before="156" w:after="156"/>
      </w:pPr>
      <w:r>
        <w:rPr>
          <w:rFonts w:hint="eastAsia"/>
        </w:rPr>
        <w:t>记录</w:t>
      </w:r>
    </w:p>
    <w:p w14:paraId="3C4B4A92">
      <w:pPr>
        <w:pStyle w:val="165"/>
      </w:pPr>
      <w:r>
        <w:rPr>
          <w:rFonts w:hint="eastAsia"/>
        </w:rPr>
        <w:t>菌（毒）种或样本的接收、保存、销毁应记录并存档，保存期限不得少于30年。</w:t>
      </w:r>
    </w:p>
    <w:p w14:paraId="0EADA593">
      <w:pPr>
        <w:pStyle w:val="165"/>
      </w:pPr>
      <w:r>
        <w:rPr>
          <w:rFonts w:hint="eastAsia"/>
        </w:rPr>
        <w:t>记录可存储于任何适当的符合国家和地方的法规或标准的要求的媒介。</w:t>
      </w:r>
    </w:p>
    <w:p w14:paraId="40D2F34B">
      <w:pPr>
        <w:pStyle w:val="165"/>
      </w:pPr>
      <w:r>
        <w:rPr>
          <w:rFonts w:hint="eastAsia"/>
        </w:rPr>
        <w:t>应具备适宜的记录存放条件，以防损坏、变质、丢失或未经授权的进入。</w:t>
      </w:r>
    </w:p>
    <w:p w14:paraId="339360CD">
      <w:pPr>
        <w:pStyle w:val="105"/>
        <w:spacing w:before="156" w:after="156"/>
      </w:pPr>
      <w:r>
        <w:rPr>
          <w:rFonts w:hint="eastAsia"/>
        </w:rPr>
        <w:t>保密要求</w:t>
      </w:r>
    </w:p>
    <w:p w14:paraId="5BD201FD">
      <w:pPr>
        <w:pStyle w:val="56"/>
        <w:ind w:firstLine="420"/>
      </w:pPr>
      <w:r>
        <w:rPr>
          <w:rFonts w:hint="eastAsia"/>
        </w:rPr>
        <w:t>菌（毒）种或样本的保存应符合国家有关保密要求。</w:t>
      </w:r>
    </w:p>
    <w:p w14:paraId="3D8F6229">
      <w:pPr>
        <w:pStyle w:val="104"/>
        <w:spacing w:before="312" w:after="312"/>
      </w:pPr>
      <w:r>
        <w:rPr>
          <w:rFonts w:hint="eastAsia"/>
        </w:rPr>
        <w:t>菌（毒）种或样本的接收</w:t>
      </w:r>
    </w:p>
    <w:p w14:paraId="1C708A3A">
      <w:pPr>
        <w:pStyle w:val="105"/>
        <w:spacing w:before="156" w:after="156"/>
      </w:pPr>
      <w:r>
        <w:t>接收区条件</w:t>
      </w:r>
    </w:p>
    <w:p w14:paraId="734B41AB">
      <w:pPr>
        <w:pStyle w:val="165"/>
      </w:pPr>
      <w:r>
        <w:rPr>
          <w:rFonts w:hint="eastAsia"/>
        </w:rPr>
        <w:t>应配备二级生物安全柜。</w:t>
      </w:r>
    </w:p>
    <w:p w14:paraId="7E62A288">
      <w:pPr>
        <w:pStyle w:val="165"/>
      </w:pPr>
      <w:r>
        <w:rPr>
          <w:rFonts w:hint="eastAsia"/>
        </w:rPr>
        <w:t>应配置消毒物资和菌（毒）种或样本内部转运所需的符合生物安全要求的包装转运材料。</w:t>
      </w:r>
    </w:p>
    <w:p w14:paraId="3A22A41C">
      <w:pPr>
        <w:pStyle w:val="105"/>
        <w:spacing w:before="156" w:after="156"/>
      </w:pPr>
      <w:r>
        <w:rPr>
          <w:rFonts w:hint="eastAsia"/>
        </w:rPr>
        <w:t>接收流程</w:t>
      </w:r>
    </w:p>
    <w:p w14:paraId="09CFBDD4">
      <w:pPr>
        <w:pStyle w:val="165"/>
      </w:pPr>
      <w:r>
        <w:t>接收人员</w:t>
      </w:r>
      <w:r>
        <w:rPr>
          <w:rFonts w:hint="eastAsia"/>
        </w:rPr>
        <w:t>应根据《人间传染的病原微生物目录》中病原危害程度和实验活动所需实验室等级，佩戴合适的个体防护装备。</w:t>
      </w:r>
    </w:p>
    <w:p w14:paraId="309A55BD">
      <w:pPr>
        <w:pStyle w:val="165"/>
      </w:pPr>
      <w:r>
        <w:rPr>
          <w:rFonts w:hint="eastAsia"/>
        </w:rPr>
        <w:t>接收人员观察外包装是否有破损，消毒外包装；打开外包装，观察辅助容器有无破损并消毒；将辅助容器移入二级生物安全柜，打开辅助容器，观察主容器有无破损并消毒取出；仔细核对样本名称、数量、包装等信息。随附的病原信息详细清单信息参考</w:t>
      </w:r>
      <w:r>
        <w:t>GB/T43429</w:t>
      </w:r>
      <w:r>
        <w:rPr>
          <w:rFonts w:hint="eastAsia"/>
        </w:rPr>
        <w:t>要求。</w:t>
      </w:r>
    </w:p>
    <w:p w14:paraId="6DE573A3">
      <w:pPr>
        <w:pStyle w:val="165"/>
      </w:pPr>
      <w:r>
        <w:t>接收完成后，及时清理物品，</w:t>
      </w:r>
      <w:r>
        <w:rPr>
          <w:rFonts w:hint="eastAsia"/>
        </w:rPr>
        <w:t>在</w:t>
      </w:r>
      <w:r>
        <w:t>菌（毒）种</w:t>
      </w:r>
      <w:r>
        <w:rPr>
          <w:rFonts w:hint="eastAsia"/>
        </w:rPr>
        <w:t>或</w:t>
      </w:r>
      <w:r>
        <w:t>样本</w:t>
      </w:r>
      <w:r>
        <w:rPr>
          <w:rFonts w:hint="eastAsia"/>
        </w:rPr>
        <w:t>主容器</w:t>
      </w:r>
      <w:r>
        <w:t>贴上牢固的标签或标识，标明菌（毒）种</w:t>
      </w:r>
      <w:r>
        <w:rPr>
          <w:rFonts w:hint="eastAsia"/>
        </w:rPr>
        <w:t>或</w:t>
      </w:r>
      <w:r>
        <w:t>样本的</w:t>
      </w:r>
      <w:r>
        <w:rPr>
          <w:rFonts w:hint="eastAsia"/>
        </w:rPr>
        <w:t>名称、</w:t>
      </w:r>
      <w:r>
        <w:t>唯一性编号、日期等信息，移出生物安全柜</w:t>
      </w:r>
      <w:r>
        <w:rPr>
          <w:rFonts w:hint="eastAsia"/>
        </w:rPr>
        <w:t>按运输要求转运至</w:t>
      </w:r>
      <w:r>
        <w:t>保存区域</w:t>
      </w:r>
      <w:r>
        <w:rPr>
          <w:rFonts w:hint="eastAsia"/>
        </w:rPr>
        <w:t>保存。</w:t>
      </w:r>
    </w:p>
    <w:p w14:paraId="5C64F968">
      <w:pPr>
        <w:pStyle w:val="104"/>
        <w:spacing w:before="312" w:after="312"/>
      </w:pPr>
      <w:r>
        <w:rPr>
          <w:rFonts w:hint="eastAsia"/>
        </w:rPr>
        <w:t>菌（毒）种或样本的保存</w:t>
      </w:r>
    </w:p>
    <w:p w14:paraId="3A2F9672">
      <w:pPr>
        <w:pStyle w:val="105"/>
        <w:spacing w:before="156" w:after="156"/>
      </w:pPr>
      <w:r>
        <w:rPr>
          <w:rFonts w:hint="eastAsia"/>
        </w:rPr>
        <w:t>环境要求</w:t>
      </w:r>
    </w:p>
    <w:p w14:paraId="60282463">
      <w:pPr>
        <w:pStyle w:val="165"/>
      </w:pPr>
      <w:r>
        <w:rPr>
          <w:szCs w:val="21"/>
        </w:rPr>
        <w:t>温度和湿度应可控制，确保低温设备正常运转。</w:t>
      </w:r>
    </w:p>
    <w:p w14:paraId="218CCE90">
      <w:pPr>
        <w:pStyle w:val="165"/>
      </w:pPr>
      <w:r>
        <w:rPr>
          <w:rFonts w:hint="eastAsia"/>
          <w:szCs w:val="21"/>
        </w:rPr>
        <w:t>应有防鼠、防虫的有效措施。</w:t>
      </w:r>
    </w:p>
    <w:p w14:paraId="33A5E48F">
      <w:pPr>
        <w:pStyle w:val="105"/>
        <w:spacing w:before="156" w:after="156"/>
        <w:rPr>
          <w:rFonts w:ascii="宋体" w:cs="宋体"/>
          <w:szCs w:val="21"/>
        </w:rPr>
      </w:pPr>
      <w:r>
        <w:rPr>
          <w:rFonts w:hint="eastAsia" w:ascii="宋体" w:cs="宋体"/>
          <w:szCs w:val="21"/>
        </w:rPr>
        <w:t>设施设备要求</w:t>
      </w:r>
    </w:p>
    <w:p w14:paraId="2F7FE77E">
      <w:pPr>
        <w:pStyle w:val="165"/>
      </w:pPr>
      <w:r>
        <w:rPr>
          <w:rFonts w:hint="eastAsia" w:cs="宋体"/>
          <w:szCs w:val="21"/>
        </w:rPr>
        <w:t>保存区域应有消防、防盗、监控、报警、通风、照明监测与控制等设施。</w:t>
      </w:r>
    </w:p>
    <w:p w14:paraId="0903593F">
      <w:pPr>
        <w:pStyle w:val="165"/>
      </w:pPr>
      <w:r>
        <w:rPr>
          <w:rFonts w:hint="eastAsia" w:cs="宋体"/>
          <w:szCs w:val="21"/>
        </w:rPr>
        <w:t>保存设备应有温度监测与控制措施，温度异常时宜能实时反馈给管理人员。</w:t>
      </w:r>
    </w:p>
    <w:p w14:paraId="4E3F497C">
      <w:pPr>
        <w:pStyle w:val="165"/>
      </w:pPr>
      <w:r>
        <w:rPr>
          <w:rFonts w:hint="eastAsia" w:cs="宋体"/>
          <w:szCs w:val="21"/>
        </w:rPr>
        <w:t>菌（毒）种或样本的保存应实行双人双锁。</w:t>
      </w:r>
    </w:p>
    <w:p w14:paraId="744C72BA">
      <w:pPr>
        <w:pStyle w:val="165"/>
      </w:pPr>
      <w:r>
        <w:rPr>
          <w:rFonts w:hint="eastAsia" w:cs="宋体"/>
          <w:szCs w:val="21"/>
        </w:rPr>
        <w:t>保存容器的材质、质量应符合安全要求，选用螺旋盖的保存容器，能耐低温、不易破碎、爆裂、泄露。</w:t>
      </w:r>
    </w:p>
    <w:p w14:paraId="4037A4E3">
      <w:pPr>
        <w:pStyle w:val="165"/>
      </w:pPr>
      <w:r>
        <w:rPr>
          <w:rFonts w:hint="eastAsia" w:cs="宋体"/>
          <w:szCs w:val="21"/>
        </w:rPr>
        <w:t>保存区域配备足量适宜等级的个人防护装备和用品以及防低温冷冻的个人防护装备。</w:t>
      </w:r>
    </w:p>
    <w:p w14:paraId="552B29DD">
      <w:pPr>
        <w:pStyle w:val="165"/>
      </w:pPr>
      <w:r>
        <w:rPr>
          <w:rFonts w:hint="eastAsia" w:cs="宋体"/>
          <w:szCs w:val="21"/>
        </w:rPr>
        <w:t>保存设备应配置备用电源。</w:t>
      </w:r>
    </w:p>
    <w:p w14:paraId="50C4A94B">
      <w:pPr>
        <w:pStyle w:val="105"/>
        <w:spacing w:before="156" w:after="156"/>
      </w:pPr>
      <w:r>
        <w:rPr>
          <w:rFonts w:hint="eastAsia"/>
        </w:rPr>
        <w:t>技术要求</w:t>
      </w:r>
    </w:p>
    <w:p w14:paraId="718E455F">
      <w:pPr>
        <w:pStyle w:val="165"/>
      </w:pPr>
      <w:r>
        <w:rPr>
          <w:rFonts w:hint="eastAsia" w:cs="宋体"/>
          <w:szCs w:val="21"/>
        </w:rPr>
        <w:t>菌（毒）种或样本的编号应具有唯一性。</w:t>
      </w:r>
    </w:p>
    <w:p w14:paraId="377F8FAF">
      <w:pPr>
        <w:pStyle w:val="165"/>
      </w:pPr>
      <w:r>
        <w:rPr>
          <w:rFonts w:hint="eastAsia" w:cs="宋体"/>
          <w:szCs w:val="21"/>
        </w:rPr>
        <w:t>采用适宜的保存方法，包括冷藏保存法、低温保存法、超低温保存法、液氮保存法等。</w:t>
      </w:r>
    </w:p>
    <w:p w14:paraId="648B15F9">
      <w:pPr>
        <w:pStyle w:val="165"/>
      </w:pPr>
      <w:r>
        <w:rPr>
          <w:rFonts w:hint="eastAsia" w:cs="宋体"/>
          <w:szCs w:val="21"/>
        </w:rPr>
        <w:t>同一菌（毒）种或样本宜选用两种或两种以上方法进行保存；如只能采用一种保存方法，宜备份菌（毒）种或样本并存放于两个独立的保存设备内。</w:t>
      </w:r>
    </w:p>
    <w:p w14:paraId="566F3D7C">
      <w:pPr>
        <w:pStyle w:val="105"/>
        <w:spacing w:before="156" w:after="156"/>
      </w:pPr>
      <w:r>
        <w:rPr>
          <w:rFonts w:hint="eastAsia"/>
        </w:rPr>
        <w:t>销毁要求</w:t>
      </w:r>
    </w:p>
    <w:p w14:paraId="4BEC3577">
      <w:pPr>
        <w:pStyle w:val="165"/>
      </w:pPr>
      <w:r>
        <w:rPr>
          <w:rFonts w:hint="eastAsia" w:cs="宋体"/>
          <w:szCs w:val="21"/>
        </w:rPr>
        <w:t>非保藏机构实验室在从事高致病性病原微生物相关实验活动结束后，应当在6个月内将菌（毒）种或样本就地销毁或者送交保藏机构保藏。</w:t>
      </w:r>
    </w:p>
    <w:p w14:paraId="3E168EE3">
      <w:pPr>
        <w:pStyle w:val="165"/>
        <w:sectPr>
          <w:headerReference r:id="rId13" w:type="default"/>
          <w:footerReference r:id="rId15" w:type="default"/>
          <w:headerReference r:id="rId14" w:type="even"/>
          <w:footerReference r:id="rId16" w:type="even"/>
          <w:pgSz w:w="11906" w:h="16838"/>
          <w:pgMar w:top="1928" w:right="1134" w:bottom="1134" w:left="1134" w:header="1418" w:footer="1134" w:gutter="284"/>
          <w:pgNumType w:start="1"/>
          <w:cols w:space="425" w:num="1"/>
          <w:formProt w:val="0"/>
          <w:docGrid w:type="lines" w:linePitch="312" w:charSpace="0"/>
        </w:sectPr>
      </w:pPr>
      <w:r>
        <w:rPr>
          <w:rFonts w:hint="eastAsia" w:cs="宋体"/>
          <w:szCs w:val="21"/>
        </w:rPr>
        <w:t>菌（毒）种或样本的</w:t>
      </w:r>
      <w:r>
        <w:rPr>
          <w:rFonts w:hAnsi="宋体" w:cs="宋体"/>
          <w:spacing w:val="-5"/>
          <w:szCs w:val="21"/>
        </w:rPr>
        <w:t>销毁应当在与拟销毁</w:t>
      </w:r>
      <w:r>
        <w:rPr>
          <w:rFonts w:hint="eastAsia" w:cs="宋体"/>
          <w:szCs w:val="21"/>
        </w:rPr>
        <w:t>菌（毒）种或样本</w:t>
      </w:r>
      <w:r>
        <w:rPr>
          <w:rFonts w:hAnsi="宋体" w:cs="宋体"/>
          <w:spacing w:val="-6"/>
          <w:szCs w:val="21"/>
        </w:rPr>
        <w:t>相适应的生物安全实验室内进行，</w:t>
      </w:r>
      <w:r>
        <w:rPr>
          <w:rFonts w:hAnsi="宋体" w:cs="宋体"/>
          <w:spacing w:val="-2"/>
          <w:szCs w:val="21"/>
        </w:rPr>
        <w:t>采用安全可靠的方法，</w:t>
      </w:r>
      <w:r>
        <w:rPr>
          <w:rFonts w:hAnsi="宋体" w:cs="宋体"/>
          <w:spacing w:val="-6"/>
          <w:szCs w:val="21"/>
        </w:rPr>
        <w:t>由两人共同</w:t>
      </w:r>
      <w:r>
        <w:rPr>
          <w:rFonts w:hAnsi="宋体" w:cs="宋体"/>
          <w:spacing w:val="-5"/>
          <w:szCs w:val="21"/>
        </w:rPr>
        <w:t>操作，并应当对销毁过程进行严格监督记录。</w:t>
      </w:r>
    </w:p>
    <w:bookmarkEnd w:id="22"/>
    <w:p w14:paraId="5DF55C44">
      <w:pPr>
        <w:pStyle w:val="198"/>
        <w:rPr>
          <w:vanish w:val="0"/>
        </w:rPr>
      </w:pPr>
      <w:bookmarkStart w:id="44" w:name="BookMark5"/>
    </w:p>
    <w:p w14:paraId="60BD4BE7">
      <w:pPr>
        <w:pStyle w:val="199"/>
        <w:rPr>
          <w:vanish w:val="0"/>
        </w:rPr>
      </w:pPr>
    </w:p>
    <w:p w14:paraId="185F0A44">
      <w:pPr>
        <w:pStyle w:val="76"/>
        <w:spacing w:after="156"/>
      </w:pPr>
      <w:r>
        <w:br w:type="textWrapping"/>
      </w:r>
      <w:r>
        <w:rPr>
          <w:rFonts w:hint="eastAsia"/>
        </w:rPr>
        <w:t>（资料性）</w:t>
      </w:r>
      <w:r>
        <w:br w:type="textWrapping"/>
      </w:r>
      <w:r>
        <w:rPr>
          <w:rFonts w:hint="eastAsia"/>
        </w:rPr>
        <w:t>人间传染的高致病性病原微生物菌（毒）种或样本台账</w:t>
      </w:r>
    </w:p>
    <w:tbl>
      <w:tblPr>
        <w:tblStyle w:val="27"/>
        <w:tblW w:w="107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57"/>
        <w:gridCol w:w="567"/>
        <w:gridCol w:w="1701"/>
        <w:gridCol w:w="851"/>
        <w:gridCol w:w="1259"/>
        <w:gridCol w:w="731"/>
        <w:gridCol w:w="731"/>
        <w:gridCol w:w="731"/>
        <w:gridCol w:w="811"/>
        <w:gridCol w:w="850"/>
        <w:gridCol w:w="992"/>
        <w:gridCol w:w="982"/>
      </w:tblGrid>
      <w:tr w14:paraId="58ED18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57" w:type="dxa"/>
            <w:tcBorders>
              <w:top w:val="single" w:color="auto" w:sz="8" w:space="0"/>
              <w:bottom w:val="single" w:color="auto" w:sz="8" w:space="0"/>
            </w:tcBorders>
            <w:shd w:val="clear" w:color="auto" w:fill="auto"/>
            <w:vAlign w:val="center"/>
          </w:tcPr>
          <w:p w14:paraId="3451E1A2">
            <w:pPr>
              <w:pStyle w:val="178"/>
              <w:rPr>
                <w:sz w:val="16"/>
              </w:rPr>
            </w:pPr>
            <w:r>
              <w:rPr>
                <w:sz w:val="16"/>
              </w:rPr>
              <w:t>序号</w:t>
            </w:r>
          </w:p>
        </w:tc>
        <w:tc>
          <w:tcPr>
            <w:tcW w:w="567" w:type="dxa"/>
            <w:tcBorders>
              <w:top w:val="single" w:color="auto" w:sz="8" w:space="0"/>
              <w:bottom w:val="single" w:color="auto" w:sz="8" w:space="0"/>
            </w:tcBorders>
            <w:shd w:val="clear" w:color="auto" w:fill="auto"/>
            <w:vAlign w:val="center"/>
          </w:tcPr>
          <w:p w14:paraId="57DFE8AF">
            <w:pPr>
              <w:pStyle w:val="178"/>
              <w:rPr>
                <w:sz w:val="16"/>
              </w:rPr>
            </w:pPr>
            <w:r>
              <w:rPr>
                <w:sz w:val="16"/>
              </w:rPr>
              <w:t>编号</w:t>
            </w:r>
          </w:p>
        </w:tc>
        <w:tc>
          <w:tcPr>
            <w:tcW w:w="1701" w:type="dxa"/>
            <w:tcBorders>
              <w:top w:val="single" w:color="auto" w:sz="8" w:space="0"/>
              <w:bottom w:val="single" w:color="auto" w:sz="8" w:space="0"/>
            </w:tcBorders>
            <w:shd w:val="clear" w:color="auto" w:fill="auto"/>
            <w:vAlign w:val="center"/>
          </w:tcPr>
          <w:p w14:paraId="663E874C">
            <w:pPr>
              <w:widowControl/>
              <w:spacing w:before="62" w:beforeLines="20" w:after="62" w:afterLines="20"/>
              <w:jc w:val="center"/>
              <w:outlineLvl w:val="1"/>
              <w:rPr>
                <w:rFonts w:ascii="宋体" w:cs="宋体"/>
                <w:sz w:val="16"/>
              </w:rPr>
            </w:pPr>
            <w:r>
              <w:rPr>
                <w:rFonts w:hint="eastAsia" w:ascii="宋体" w:cs="宋体"/>
                <w:sz w:val="16"/>
              </w:rPr>
              <w:t>菌（毒）种或样本名称</w:t>
            </w:r>
          </w:p>
        </w:tc>
        <w:tc>
          <w:tcPr>
            <w:tcW w:w="851" w:type="dxa"/>
            <w:tcBorders>
              <w:top w:val="single" w:color="auto" w:sz="8" w:space="0"/>
              <w:bottom w:val="single" w:color="auto" w:sz="8" w:space="0"/>
            </w:tcBorders>
            <w:shd w:val="clear" w:color="auto" w:fill="auto"/>
            <w:vAlign w:val="center"/>
          </w:tcPr>
          <w:p w14:paraId="6DB313B6">
            <w:pPr>
              <w:widowControl/>
              <w:spacing w:before="62" w:beforeLines="20" w:after="62" w:afterLines="20"/>
              <w:jc w:val="center"/>
              <w:outlineLvl w:val="1"/>
              <w:rPr>
                <w:rFonts w:ascii="宋体" w:cs="宋体"/>
                <w:sz w:val="16"/>
              </w:rPr>
            </w:pPr>
            <w:r>
              <w:rPr>
                <w:rFonts w:hint="eastAsia" w:ascii="宋体" w:cs="宋体"/>
                <w:sz w:val="16"/>
              </w:rPr>
              <w:t>原始编号</w:t>
            </w:r>
          </w:p>
        </w:tc>
        <w:tc>
          <w:tcPr>
            <w:tcW w:w="1259" w:type="dxa"/>
            <w:tcBorders>
              <w:top w:val="single" w:color="auto" w:sz="8" w:space="0"/>
              <w:bottom w:val="single" w:color="auto" w:sz="8" w:space="0"/>
            </w:tcBorders>
            <w:shd w:val="clear" w:color="auto" w:fill="auto"/>
            <w:vAlign w:val="center"/>
          </w:tcPr>
          <w:p w14:paraId="730BEBCC">
            <w:pPr>
              <w:widowControl/>
              <w:spacing w:before="62" w:beforeLines="20" w:after="62" w:afterLines="20"/>
              <w:jc w:val="center"/>
              <w:outlineLvl w:val="1"/>
              <w:rPr>
                <w:rFonts w:ascii="宋体" w:cs="宋体"/>
                <w:sz w:val="16"/>
              </w:rPr>
            </w:pPr>
            <w:r>
              <w:rPr>
                <w:rFonts w:hint="eastAsia" w:ascii="宋体" w:cs="宋体"/>
                <w:sz w:val="16"/>
              </w:rPr>
              <w:t>目标/疑似病原</w:t>
            </w:r>
          </w:p>
        </w:tc>
        <w:tc>
          <w:tcPr>
            <w:tcW w:w="731" w:type="dxa"/>
            <w:tcBorders>
              <w:top w:val="single" w:color="auto" w:sz="8" w:space="0"/>
              <w:bottom w:val="single" w:color="auto" w:sz="8" w:space="0"/>
            </w:tcBorders>
            <w:shd w:val="clear" w:color="auto" w:fill="auto"/>
            <w:vAlign w:val="center"/>
          </w:tcPr>
          <w:p w14:paraId="609F6DFA">
            <w:pPr>
              <w:widowControl/>
              <w:spacing w:before="62" w:beforeLines="20" w:after="62" w:afterLines="20"/>
              <w:jc w:val="center"/>
              <w:outlineLvl w:val="1"/>
              <w:rPr>
                <w:rFonts w:ascii="宋体" w:cs="宋体"/>
                <w:sz w:val="16"/>
              </w:rPr>
            </w:pPr>
            <w:r>
              <w:rPr>
                <w:rFonts w:hint="eastAsia" w:ascii="宋体" w:cs="宋体"/>
                <w:sz w:val="16"/>
              </w:rPr>
              <w:t>总数量</w:t>
            </w:r>
          </w:p>
        </w:tc>
        <w:tc>
          <w:tcPr>
            <w:tcW w:w="731" w:type="dxa"/>
            <w:tcBorders>
              <w:top w:val="single" w:color="auto" w:sz="8" w:space="0"/>
              <w:bottom w:val="single" w:color="auto" w:sz="8" w:space="0"/>
            </w:tcBorders>
            <w:shd w:val="clear" w:color="auto" w:fill="auto"/>
            <w:vAlign w:val="center"/>
          </w:tcPr>
          <w:p w14:paraId="77DD8C4F">
            <w:pPr>
              <w:widowControl/>
              <w:spacing w:before="62" w:beforeLines="20" w:after="62" w:afterLines="20"/>
              <w:jc w:val="center"/>
              <w:outlineLvl w:val="1"/>
              <w:rPr>
                <w:rFonts w:ascii="宋体" w:cs="宋体"/>
                <w:sz w:val="16"/>
              </w:rPr>
            </w:pPr>
            <w:r>
              <w:rPr>
                <w:rFonts w:hint="eastAsia" w:ascii="宋体" w:cs="宋体"/>
                <w:sz w:val="16"/>
              </w:rPr>
              <w:t>送样单位</w:t>
            </w:r>
          </w:p>
        </w:tc>
        <w:tc>
          <w:tcPr>
            <w:tcW w:w="731" w:type="dxa"/>
            <w:tcBorders>
              <w:top w:val="single" w:color="auto" w:sz="8" w:space="0"/>
              <w:bottom w:val="single" w:color="auto" w:sz="8" w:space="0"/>
            </w:tcBorders>
            <w:shd w:val="clear" w:color="auto" w:fill="auto"/>
            <w:vAlign w:val="center"/>
          </w:tcPr>
          <w:p w14:paraId="747E814F">
            <w:pPr>
              <w:widowControl/>
              <w:spacing w:before="62" w:beforeLines="20" w:after="62" w:afterLines="20"/>
              <w:jc w:val="center"/>
              <w:outlineLvl w:val="1"/>
              <w:rPr>
                <w:rFonts w:ascii="宋体" w:cs="宋体"/>
                <w:sz w:val="16"/>
              </w:rPr>
            </w:pPr>
            <w:r>
              <w:rPr>
                <w:rFonts w:hint="eastAsia" w:ascii="宋体" w:cs="宋体"/>
                <w:sz w:val="16"/>
              </w:rPr>
              <w:t>送样人</w:t>
            </w:r>
          </w:p>
        </w:tc>
        <w:tc>
          <w:tcPr>
            <w:tcW w:w="811" w:type="dxa"/>
            <w:tcBorders>
              <w:top w:val="single" w:color="auto" w:sz="8" w:space="0"/>
              <w:bottom w:val="single" w:color="auto" w:sz="8" w:space="0"/>
            </w:tcBorders>
            <w:shd w:val="clear" w:color="auto" w:fill="auto"/>
            <w:vAlign w:val="center"/>
          </w:tcPr>
          <w:p w14:paraId="3D3CBD4B">
            <w:pPr>
              <w:widowControl/>
              <w:spacing w:before="62" w:beforeLines="20" w:after="62" w:afterLines="20"/>
              <w:jc w:val="center"/>
              <w:outlineLvl w:val="1"/>
              <w:rPr>
                <w:rFonts w:ascii="宋体" w:cs="宋体"/>
                <w:sz w:val="16"/>
              </w:rPr>
            </w:pPr>
            <w:r>
              <w:rPr>
                <w:rFonts w:hint="eastAsia" w:ascii="宋体" w:cs="宋体"/>
                <w:sz w:val="16"/>
              </w:rPr>
              <w:t>接收人/管理人</w:t>
            </w:r>
          </w:p>
        </w:tc>
        <w:tc>
          <w:tcPr>
            <w:tcW w:w="850" w:type="dxa"/>
            <w:tcBorders>
              <w:top w:val="single" w:color="auto" w:sz="8" w:space="0"/>
              <w:bottom w:val="single" w:color="auto" w:sz="8" w:space="0"/>
            </w:tcBorders>
            <w:shd w:val="clear" w:color="auto" w:fill="auto"/>
            <w:vAlign w:val="center"/>
          </w:tcPr>
          <w:p w14:paraId="72D78708">
            <w:pPr>
              <w:widowControl/>
              <w:spacing w:before="62" w:beforeLines="20" w:after="62" w:afterLines="20"/>
              <w:jc w:val="center"/>
              <w:outlineLvl w:val="1"/>
              <w:rPr>
                <w:rFonts w:ascii="宋体" w:cs="宋体"/>
                <w:sz w:val="16"/>
              </w:rPr>
            </w:pPr>
            <w:r>
              <w:rPr>
                <w:rFonts w:hint="eastAsia" w:ascii="宋体" w:cs="宋体"/>
                <w:sz w:val="16"/>
              </w:rPr>
              <w:t>接收日期</w:t>
            </w:r>
          </w:p>
        </w:tc>
        <w:tc>
          <w:tcPr>
            <w:tcW w:w="992" w:type="dxa"/>
            <w:tcBorders>
              <w:top w:val="single" w:color="auto" w:sz="8" w:space="0"/>
              <w:bottom w:val="single" w:color="auto" w:sz="8" w:space="0"/>
            </w:tcBorders>
            <w:shd w:val="clear" w:color="auto" w:fill="auto"/>
            <w:vAlign w:val="center"/>
          </w:tcPr>
          <w:p w14:paraId="2D2167AE">
            <w:pPr>
              <w:widowControl/>
              <w:spacing w:before="62" w:beforeLines="20" w:after="62" w:afterLines="20"/>
              <w:jc w:val="center"/>
              <w:outlineLvl w:val="1"/>
              <w:rPr>
                <w:rFonts w:ascii="宋体" w:cs="宋体"/>
                <w:sz w:val="16"/>
              </w:rPr>
            </w:pPr>
            <w:r>
              <w:rPr>
                <w:rFonts w:hint="eastAsia" w:ascii="宋体" w:cs="宋体"/>
                <w:sz w:val="16"/>
              </w:rPr>
              <w:t>保存方法</w:t>
            </w:r>
          </w:p>
        </w:tc>
        <w:tc>
          <w:tcPr>
            <w:tcW w:w="982" w:type="dxa"/>
            <w:tcBorders>
              <w:top w:val="single" w:color="auto" w:sz="8" w:space="0"/>
              <w:bottom w:val="single" w:color="auto" w:sz="8" w:space="0"/>
            </w:tcBorders>
            <w:shd w:val="clear" w:color="auto" w:fill="auto"/>
            <w:vAlign w:val="center"/>
          </w:tcPr>
          <w:p w14:paraId="0D295C6E">
            <w:pPr>
              <w:widowControl/>
              <w:spacing w:before="62" w:beforeLines="20" w:after="62" w:afterLines="20"/>
              <w:jc w:val="center"/>
              <w:outlineLvl w:val="1"/>
              <w:rPr>
                <w:rFonts w:ascii="宋体" w:cs="宋体"/>
                <w:sz w:val="16"/>
              </w:rPr>
            </w:pPr>
            <w:r>
              <w:rPr>
                <w:rFonts w:hint="eastAsia" w:ascii="宋体" w:cs="宋体"/>
                <w:sz w:val="16"/>
              </w:rPr>
              <w:t>保存位置</w:t>
            </w:r>
          </w:p>
        </w:tc>
      </w:tr>
      <w:tr w14:paraId="5E59AF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tcBorders>
              <w:top w:val="single" w:color="auto" w:sz="8" w:space="0"/>
            </w:tcBorders>
            <w:shd w:val="clear" w:color="auto" w:fill="auto"/>
            <w:vAlign w:val="center"/>
          </w:tcPr>
          <w:p w14:paraId="0A0D9004">
            <w:pPr>
              <w:pStyle w:val="178"/>
            </w:pPr>
          </w:p>
        </w:tc>
        <w:tc>
          <w:tcPr>
            <w:tcW w:w="567" w:type="dxa"/>
            <w:tcBorders>
              <w:top w:val="single" w:color="auto" w:sz="8" w:space="0"/>
            </w:tcBorders>
            <w:shd w:val="clear" w:color="auto" w:fill="auto"/>
            <w:vAlign w:val="center"/>
          </w:tcPr>
          <w:p w14:paraId="75C2CBD3">
            <w:pPr>
              <w:pStyle w:val="178"/>
            </w:pPr>
          </w:p>
        </w:tc>
        <w:tc>
          <w:tcPr>
            <w:tcW w:w="1701" w:type="dxa"/>
            <w:tcBorders>
              <w:top w:val="single" w:color="auto" w:sz="8" w:space="0"/>
            </w:tcBorders>
            <w:shd w:val="clear" w:color="auto" w:fill="auto"/>
            <w:vAlign w:val="center"/>
          </w:tcPr>
          <w:p w14:paraId="0F039A3D">
            <w:pPr>
              <w:pStyle w:val="178"/>
            </w:pPr>
          </w:p>
        </w:tc>
        <w:tc>
          <w:tcPr>
            <w:tcW w:w="851" w:type="dxa"/>
            <w:tcBorders>
              <w:top w:val="single" w:color="auto" w:sz="8" w:space="0"/>
            </w:tcBorders>
            <w:shd w:val="clear" w:color="auto" w:fill="auto"/>
            <w:vAlign w:val="center"/>
          </w:tcPr>
          <w:p w14:paraId="5CC6C1BF">
            <w:pPr>
              <w:pStyle w:val="178"/>
            </w:pPr>
          </w:p>
        </w:tc>
        <w:tc>
          <w:tcPr>
            <w:tcW w:w="1259" w:type="dxa"/>
            <w:tcBorders>
              <w:top w:val="single" w:color="auto" w:sz="8" w:space="0"/>
            </w:tcBorders>
            <w:shd w:val="clear" w:color="auto" w:fill="auto"/>
            <w:vAlign w:val="center"/>
          </w:tcPr>
          <w:p w14:paraId="14FF7358">
            <w:pPr>
              <w:pStyle w:val="178"/>
            </w:pPr>
          </w:p>
        </w:tc>
        <w:tc>
          <w:tcPr>
            <w:tcW w:w="731" w:type="dxa"/>
            <w:tcBorders>
              <w:top w:val="single" w:color="auto" w:sz="8" w:space="0"/>
            </w:tcBorders>
            <w:shd w:val="clear" w:color="auto" w:fill="auto"/>
            <w:vAlign w:val="center"/>
          </w:tcPr>
          <w:p w14:paraId="460AF07A">
            <w:pPr>
              <w:pStyle w:val="178"/>
            </w:pPr>
          </w:p>
        </w:tc>
        <w:tc>
          <w:tcPr>
            <w:tcW w:w="731" w:type="dxa"/>
            <w:tcBorders>
              <w:top w:val="single" w:color="auto" w:sz="8" w:space="0"/>
            </w:tcBorders>
            <w:shd w:val="clear" w:color="auto" w:fill="auto"/>
            <w:vAlign w:val="center"/>
          </w:tcPr>
          <w:p w14:paraId="75C64AF4">
            <w:pPr>
              <w:pStyle w:val="178"/>
            </w:pPr>
          </w:p>
        </w:tc>
        <w:tc>
          <w:tcPr>
            <w:tcW w:w="731" w:type="dxa"/>
            <w:tcBorders>
              <w:top w:val="single" w:color="auto" w:sz="8" w:space="0"/>
            </w:tcBorders>
            <w:shd w:val="clear" w:color="auto" w:fill="auto"/>
            <w:vAlign w:val="center"/>
          </w:tcPr>
          <w:p w14:paraId="75FBFBB4">
            <w:pPr>
              <w:pStyle w:val="178"/>
            </w:pPr>
          </w:p>
        </w:tc>
        <w:tc>
          <w:tcPr>
            <w:tcW w:w="811" w:type="dxa"/>
            <w:tcBorders>
              <w:top w:val="single" w:color="auto" w:sz="8" w:space="0"/>
            </w:tcBorders>
            <w:shd w:val="clear" w:color="auto" w:fill="auto"/>
            <w:vAlign w:val="center"/>
          </w:tcPr>
          <w:p w14:paraId="135FA009">
            <w:pPr>
              <w:pStyle w:val="178"/>
            </w:pPr>
          </w:p>
        </w:tc>
        <w:tc>
          <w:tcPr>
            <w:tcW w:w="850" w:type="dxa"/>
            <w:tcBorders>
              <w:top w:val="single" w:color="auto" w:sz="8" w:space="0"/>
            </w:tcBorders>
            <w:shd w:val="clear" w:color="auto" w:fill="auto"/>
            <w:vAlign w:val="center"/>
          </w:tcPr>
          <w:p w14:paraId="3D261099">
            <w:pPr>
              <w:pStyle w:val="178"/>
            </w:pPr>
          </w:p>
        </w:tc>
        <w:tc>
          <w:tcPr>
            <w:tcW w:w="992" w:type="dxa"/>
            <w:tcBorders>
              <w:top w:val="single" w:color="auto" w:sz="8" w:space="0"/>
            </w:tcBorders>
            <w:shd w:val="clear" w:color="auto" w:fill="auto"/>
            <w:vAlign w:val="center"/>
          </w:tcPr>
          <w:p w14:paraId="0C115012">
            <w:pPr>
              <w:pStyle w:val="178"/>
            </w:pPr>
          </w:p>
        </w:tc>
        <w:tc>
          <w:tcPr>
            <w:tcW w:w="982" w:type="dxa"/>
            <w:tcBorders>
              <w:top w:val="single" w:color="auto" w:sz="8" w:space="0"/>
            </w:tcBorders>
            <w:shd w:val="clear" w:color="auto" w:fill="auto"/>
            <w:vAlign w:val="center"/>
          </w:tcPr>
          <w:p w14:paraId="1185ABE6">
            <w:pPr>
              <w:pStyle w:val="178"/>
            </w:pPr>
          </w:p>
        </w:tc>
      </w:tr>
      <w:tr w14:paraId="3A17B9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57" w:type="dxa"/>
            <w:shd w:val="clear" w:color="auto" w:fill="auto"/>
            <w:vAlign w:val="center"/>
          </w:tcPr>
          <w:p w14:paraId="5D534D65">
            <w:pPr>
              <w:pStyle w:val="178"/>
            </w:pPr>
          </w:p>
        </w:tc>
        <w:tc>
          <w:tcPr>
            <w:tcW w:w="567" w:type="dxa"/>
            <w:shd w:val="clear" w:color="auto" w:fill="auto"/>
            <w:vAlign w:val="center"/>
          </w:tcPr>
          <w:p w14:paraId="2C0807A4">
            <w:pPr>
              <w:pStyle w:val="178"/>
            </w:pPr>
          </w:p>
        </w:tc>
        <w:tc>
          <w:tcPr>
            <w:tcW w:w="1701" w:type="dxa"/>
            <w:shd w:val="clear" w:color="auto" w:fill="auto"/>
            <w:vAlign w:val="center"/>
          </w:tcPr>
          <w:p w14:paraId="416A1E9C">
            <w:pPr>
              <w:pStyle w:val="178"/>
            </w:pPr>
          </w:p>
        </w:tc>
        <w:tc>
          <w:tcPr>
            <w:tcW w:w="851" w:type="dxa"/>
            <w:shd w:val="clear" w:color="auto" w:fill="auto"/>
            <w:vAlign w:val="center"/>
          </w:tcPr>
          <w:p w14:paraId="7519E4EA">
            <w:pPr>
              <w:pStyle w:val="178"/>
            </w:pPr>
          </w:p>
        </w:tc>
        <w:tc>
          <w:tcPr>
            <w:tcW w:w="1259" w:type="dxa"/>
            <w:shd w:val="clear" w:color="auto" w:fill="auto"/>
            <w:vAlign w:val="center"/>
          </w:tcPr>
          <w:p w14:paraId="4608713C">
            <w:pPr>
              <w:pStyle w:val="178"/>
            </w:pPr>
          </w:p>
        </w:tc>
        <w:tc>
          <w:tcPr>
            <w:tcW w:w="731" w:type="dxa"/>
            <w:shd w:val="clear" w:color="auto" w:fill="auto"/>
            <w:vAlign w:val="center"/>
          </w:tcPr>
          <w:p w14:paraId="02D45119">
            <w:pPr>
              <w:pStyle w:val="178"/>
            </w:pPr>
          </w:p>
        </w:tc>
        <w:tc>
          <w:tcPr>
            <w:tcW w:w="731" w:type="dxa"/>
            <w:shd w:val="clear" w:color="auto" w:fill="auto"/>
            <w:vAlign w:val="center"/>
          </w:tcPr>
          <w:p w14:paraId="79361F45">
            <w:pPr>
              <w:pStyle w:val="178"/>
            </w:pPr>
          </w:p>
        </w:tc>
        <w:tc>
          <w:tcPr>
            <w:tcW w:w="731" w:type="dxa"/>
            <w:shd w:val="clear" w:color="auto" w:fill="auto"/>
            <w:vAlign w:val="center"/>
          </w:tcPr>
          <w:p w14:paraId="6158141A">
            <w:pPr>
              <w:pStyle w:val="178"/>
            </w:pPr>
          </w:p>
        </w:tc>
        <w:tc>
          <w:tcPr>
            <w:tcW w:w="811" w:type="dxa"/>
            <w:shd w:val="clear" w:color="auto" w:fill="auto"/>
            <w:vAlign w:val="center"/>
          </w:tcPr>
          <w:p w14:paraId="3836CB56">
            <w:pPr>
              <w:pStyle w:val="178"/>
            </w:pPr>
          </w:p>
        </w:tc>
        <w:tc>
          <w:tcPr>
            <w:tcW w:w="850" w:type="dxa"/>
            <w:shd w:val="clear" w:color="auto" w:fill="auto"/>
            <w:vAlign w:val="center"/>
          </w:tcPr>
          <w:p w14:paraId="3802F90D">
            <w:pPr>
              <w:pStyle w:val="178"/>
            </w:pPr>
          </w:p>
        </w:tc>
        <w:tc>
          <w:tcPr>
            <w:tcW w:w="992" w:type="dxa"/>
            <w:shd w:val="clear" w:color="auto" w:fill="auto"/>
            <w:vAlign w:val="center"/>
          </w:tcPr>
          <w:p w14:paraId="251ADD3B">
            <w:pPr>
              <w:pStyle w:val="178"/>
            </w:pPr>
          </w:p>
        </w:tc>
        <w:tc>
          <w:tcPr>
            <w:tcW w:w="982" w:type="dxa"/>
            <w:shd w:val="clear" w:color="auto" w:fill="auto"/>
            <w:vAlign w:val="center"/>
          </w:tcPr>
          <w:p w14:paraId="13506287">
            <w:pPr>
              <w:pStyle w:val="178"/>
            </w:pPr>
          </w:p>
        </w:tc>
      </w:tr>
      <w:tr w14:paraId="52FF05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14:paraId="3BDE14B5">
            <w:pPr>
              <w:pStyle w:val="178"/>
            </w:pPr>
          </w:p>
        </w:tc>
        <w:tc>
          <w:tcPr>
            <w:tcW w:w="567" w:type="dxa"/>
            <w:shd w:val="clear" w:color="auto" w:fill="auto"/>
            <w:vAlign w:val="center"/>
          </w:tcPr>
          <w:p w14:paraId="0BABE49A">
            <w:pPr>
              <w:pStyle w:val="178"/>
            </w:pPr>
          </w:p>
        </w:tc>
        <w:tc>
          <w:tcPr>
            <w:tcW w:w="1701" w:type="dxa"/>
            <w:shd w:val="clear" w:color="auto" w:fill="auto"/>
            <w:vAlign w:val="center"/>
          </w:tcPr>
          <w:p w14:paraId="48C520E1">
            <w:pPr>
              <w:pStyle w:val="178"/>
            </w:pPr>
          </w:p>
        </w:tc>
        <w:tc>
          <w:tcPr>
            <w:tcW w:w="851" w:type="dxa"/>
            <w:shd w:val="clear" w:color="auto" w:fill="auto"/>
            <w:vAlign w:val="center"/>
          </w:tcPr>
          <w:p w14:paraId="11B80257">
            <w:pPr>
              <w:pStyle w:val="178"/>
            </w:pPr>
          </w:p>
        </w:tc>
        <w:tc>
          <w:tcPr>
            <w:tcW w:w="1259" w:type="dxa"/>
            <w:shd w:val="clear" w:color="auto" w:fill="auto"/>
            <w:vAlign w:val="center"/>
          </w:tcPr>
          <w:p w14:paraId="415B2BBB">
            <w:pPr>
              <w:pStyle w:val="178"/>
            </w:pPr>
          </w:p>
        </w:tc>
        <w:tc>
          <w:tcPr>
            <w:tcW w:w="731" w:type="dxa"/>
            <w:shd w:val="clear" w:color="auto" w:fill="auto"/>
            <w:vAlign w:val="center"/>
          </w:tcPr>
          <w:p w14:paraId="548DD063">
            <w:pPr>
              <w:pStyle w:val="178"/>
            </w:pPr>
          </w:p>
        </w:tc>
        <w:tc>
          <w:tcPr>
            <w:tcW w:w="731" w:type="dxa"/>
            <w:shd w:val="clear" w:color="auto" w:fill="auto"/>
            <w:vAlign w:val="center"/>
          </w:tcPr>
          <w:p w14:paraId="2AC13FFC">
            <w:pPr>
              <w:pStyle w:val="178"/>
            </w:pPr>
          </w:p>
        </w:tc>
        <w:tc>
          <w:tcPr>
            <w:tcW w:w="731" w:type="dxa"/>
            <w:shd w:val="clear" w:color="auto" w:fill="auto"/>
            <w:vAlign w:val="center"/>
          </w:tcPr>
          <w:p w14:paraId="7E4F997F">
            <w:pPr>
              <w:pStyle w:val="178"/>
            </w:pPr>
          </w:p>
        </w:tc>
        <w:tc>
          <w:tcPr>
            <w:tcW w:w="811" w:type="dxa"/>
            <w:shd w:val="clear" w:color="auto" w:fill="auto"/>
            <w:vAlign w:val="center"/>
          </w:tcPr>
          <w:p w14:paraId="39E28759">
            <w:pPr>
              <w:pStyle w:val="178"/>
            </w:pPr>
          </w:p>
        </w:tc>
        <w:tc>
          <w:tcPr>
            <w:tcW w:w="850" w:type="dxa"/>
            <w:shd w:val="clear" w:color="auto" w:fill="auto"/>
            <w:vAlign w:val="center"/>
          </w:tcPr>
          <w:p w14:paraId="5EAC868B">
            <w:pPr>
              <w:pStyle w:val="178"/>
            </w:pPr>
          </w:p>
        </w:tc>
        <w:tc>
          <w:tcPr>
            <w:tcW w:w="992" w:type="dxa"/>
            <w:shd w:val="clear" w:color="auto" w:fill="auto"/>
            <w:vAlign w:val="center"/>
          </w:tcPr>
          <w:p w14:paraId="503B84F7">
            <w:pPr>
              <w:pStyle w:val="178"/>
            </w:pPr>
          </w:p>
        </w:tc>
        <w:tc>
          <w:tcPr>
            <w:tcW w:w="982" w:type="dxa"/>
            <w:shd w:val="clear" w:color="auto" w:fill="auto"/>
            <w:vAlign w:val="center"/>
          </w:tcPr>
          <w:p w14:paraId="4AAEE613">
            <w:pPr>
              <w:pStyle w:val="178"/>
            </w:pPr>
          </w:p>
        </w:tc>
      </w:tr>
      <w:tr w14:paraId="03B4D5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14:paraId="79C8859B">
            <w:pPr>
              <w:pStyle w:val="178"/>
            </w:pPr>
          </w:p>
        </w:tc>
        <w:tc>
          <w:tcPr>
            <w:tcW w:w="567" w:type="dxa"/>
            <w:shd w:val="clear" w:color="auto" w:fill="auto"/>
            <w:vAlign w:val="center"/>
          </w:tcPr>
          <w:p w14:paraId="5BCF5B85">
            <w:pPr>
              <w:pStyle w:val="178"/>
            </w:pPr>
          </w:p>
        </w:tc>
        <w:tc>
          <w:tcPr>
            <w:tcW w:w="1701" w:type="dxa"/>
            <w:shd w:val="clear" w:color="auto" w:fill="auto"/>
            <w:vAlign w:val="center"/>
          </w:tcPr>
          <w:p w14:paraId="1E70F765">
            <w:pPr>
              <w:pStyle w:val="178"/>
            </w:pPr>
          </w:p>
        </w:tc>
        <w:tc>
          <w:tcPr>
            <w:tcW w:w="851" w:type="dxa"/>
            <w:shd w:val="clear" w:color="auto" w:fill="auto"/>
            <w:vAlign w:val="center"/>
          </w:tcPr>
          <w:p w14:paraId="20E84D7F">
            <w:pPr>
              <w:pStyle w:val="178"/>
            </w:pPr>
          </w:p>
        </w:tc>
        <w:tc>
          <w:tcPr>
            <w:tcW w:w="1259" w:type="dxa"/>
            <w:shd w:val="clear" w:color="auto" w:fill="auto"/>
            <w:vAlign w:val="center"/>
          </w:tcPr>
          <w:p w14:paraId="0F8E2C03">
            <w:pPr>
              <w:pStyle w:val="178"/>
            </w:pPr>
          </w:p>
        </w:tc>
        <w:tc>
          <w:tcPr>
            <w:tcW w:w="731" w:type="dxa"/>
            <w:shd w:val="clear" w:color="auto" w:fill="auto"/>
            <w:vAlign w:val="center"/>
          </w:tcPr>
          <w:p w14:paraId="09C21CC8">
            <w:pPr>
              <w:pStyle w:val="178"/>
            </w:pPr>
          </w:p>
        </w:tc>
        <w:tc>
          <w:tcPr>
            <w:tcW w:w="731" w:type="dxa"/>
            <w:shd w:val="clear" w:color="auto" w:fill="auto"/>
            <w:vAlign w:val="center"/>
          </w:tcPr>
          <w:p w14:paraId="49CB7D83">
            <w:pPr>
              <w:pStyle w:val="178"/>
            </w:pPr>
          </w:p>
        </w:tc>
        <w:tc>
          <w:tcPr>
            <w:tcW w:w="731" w:type="dxa"/>
            <w:shd w:val="clear" w:color="auto" w:fill="auto"/>
            <w:vAlign w:val="center"/>
          </w:tcPr>
          <w:p w14:paraId="72727622">
            <w:pPr>
              <w:pStyle w:val="178"/>
            </w:pPr>
          </w:p>
        </w:tc>
        <w:tc>
          <w:tcPr>
            <w:tcW w:w="811" w:type="dxa"/>
            <w:shd w:val="clear" w:color="auto" w:fill="auto"/>
            <w:vAlign w:val="center"/>
          </w:tcPr>
          <w:p w14:paraId="156DC545">
            <w:pPr>
              <w:pStyle w:val="178"/>
            </w:pPr>
          </w:p>
        </w:tc>
        <w:tc>
          <w:tcPr>
            <w:tcW w:w="850" w:type="dxa"/>
            <w:shd w:val="clear" w:color="auto" w:fill="auto"/>
            <w:vAlign w:val="center"/>
          </w:tcPr>
          <w:p w14:paraId="27BF5478">
            <w:pPr>
              <w:pStyle w:val="178"/>
            </w:pPr>
          </w:p>
        </w:tc>
        <w:tc>
          <w:tcPr>
            <w:tcW w:w="992" w:type="dxa"/>
            <w:shd w:val="clear" w:color="auto" w:fill="auto"/>
            <w:vAlign w:val="center"/>
          </w:tcPr>
          <w:p w14:paraId="757EBB96">
            <w:pPr>
              <w:pStyle w:val="178"/>
            </w:pPr>
          </w:p>
        </w:tc>
        <w:tc>
          <w:tcPr>
            <w:tcW w:w="982" w:type="dxa"/>
            <w:shd w:val="clear" w:color="auto" w:fill="auto"/>
            <w:vAlign w:val="center"/>
          </w:tcPr>
          <w:p w14:paraId="6A0CCB45">
            <w:pPr>
              <w:pStyle w:val="178"/>
            </w:pPr>
          </w:p>
        </w:tc>
      </w:tr>
      <w:tr w14:paraId="7ABFF9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57" w:type="dxa"/>
            <w:shd w:val="clear" w:color="auto" w:fill="auto"/>
            <w:vAlign w:val="center"/>
          </w:tcPr>
          <w:p w14:paraId="199388CF">
            <w:pPr>
              <w:pStyle w:val="178"/>
            </w:pPr>
          </w:p>
        </w:tc>
        <w:tc>
          <w:tcPr>
            <w:tcW w:w="567" w:type="dxa"/>
            <w:shd w:val="clear" w:color="auto" w:fill="auto"/>
            <w:vAlign w:val="center"/>
          </w:tcPr>
          <w:p w14:paraId="57E0D598">
            <w:pPr>
              <w:pStyle w:val="178"/>
            </w:pPr>
          </w:p>
        </w:tc>
        <w:tc>
          <w:tcPr>
            <w:tcW w:w="1701" w:type="dxa"/>
            <w:shd w:val="clear" w:color="auto" w:fill="auto"/>
            <w:vAlign w:val="center"/>
          </w:tcPr>
          <w:p w14:paraId="6971BF65">
            <w:pPr>
              <w:pStyle w:val="178"/>
            </w:pPr>
          </w:p>
        </w:tc>
        <w:tc>
          <w:tcPr>
            <w:tcW w:w="851" w:type="dxa"/>
            <w:shd w:val="clear" w:color="auto" w:fill="auto"/>
            <w:vAlign w:val="center"/>
          </w:tcPr>
          <w:p w14:paraId="5E0FD129">
            <w:pPr>
              <w:pStyle w:val="178"/>
            </w:pPr>
          </w:p>
        </w:tc>
        <w:tc>
          <w:tcPr>
            <w:tcW w:w="1259" w:type="dxa"/>
            <w:shd w:val="clear" w:color="auto" w:fill="auto"/>
            <w:vAlign w:val="center"/>
          </w:tcPr>
          <w:p w14:paraId="68EE20DC">
            <w:pPr>
              <w:pStyle w:val="178"/>
            </w:pPr>
          </w:p>
        </w:tc>
        <w:tc>
          <w:tcPr>
            <w:tcW w:w="731" w:type="dxa"/>
            <w:shd w:val="clear" w:color="auto" w:fill="auto"/>
            <w:vAlign w:val="center"/>
          </w:tcPr>
          <w:p w14:paraId="30952B4E">
            <w:pPr>
              <w:pStyle w:val="178"/>
            </w:pPr>
          </w:p>
        </w:tc>
        <w:tc>
          <w:tcPr>
            <w:tcW w:w="731" w:type="dxa"/>
            <w:shd w:val="clear" w:color="auto" w:fill="auto"/>
            <w:vAlign w:val="center"/>
          </w:tcPr>
          <w:p w14:paraId="7E91929E">
            <w:pPr>
              <w:pStyle w:val="178"/>
            </w:pPr>
          </w:p>
        </w:tc>
        <w:tc>
          <w:tcPr>
            <w:tcW w:w="731" w:type="dxa"/>
            <w:shd w:val="clear" w:color="auto" w:fill="auto"/>
            <w:vAlign w:val="center"/>
          </w:tcPr>
          <w:p w14:paraId="7AD8C71D">
            <w:pPr>
              <w:pStyle w:val="178"/>
            </w:pPr>
          </w:p>
        </w:tc>
        <w:tc>
          <w:tcPr>
            <w:tcW w:w="811" w:type="dxa"/>
            <w:shd w:val="clear" w:color="auto" w:fill="auto"/>
            <w:vAlign w:val="center"/>
          </w:tcPr>
          <w:p w14:paraId="70CF612A">
            <w:pPr>
              <w:pStyle w:val="178"/>
            </w:pPr>
          </w:p>
        </w:tc>
        <w:tc>
          <w:tcPr>
            <w:tcW w:w="850" w:type="dxa"/>
            <w:shd w:val="clear" w:color="auto" w:fill="auto"/>
            <w:vAlign w:val="center"/>
          </w:tcPr>
          <w:p w14:paraId="254628E8">
            <w:pPr>
              <w:pStyle w:val="178"/>
            </w:pPr>
          </w:p>
        </w:tc>
        <w:tc>
          <w:tcPr>
            <w:tcW w:w="992" w:type="dxa"/>
            <w:shd w:val="clear" w:color="auto" w:fill="auto"/>
            <w:vAlign w:val="center"/>
          </w:tcPr>
          <w:p w14:paraId="1D6D1209">
            <w:pPr>
              <w:pStyle w:val="178"/>
            </w:pPr>
          </w:p>
        </w:tc>
        <w:tc>
          <w:tcPr>
            <w:tcW w:w="982" w:type="dxa"/>
            <w:shd w:val="clear" w:color="auto" w:fill="auto"/>
            <w:vAlign w:val="center"/>
          </w:tcPr>
          <w:p w14:paraId="1E963283">
            <w:pPr>
              <w:pStyle w:val="178"/>
            </w:pPr>
          </w:p>
        </w:tc>
      </w:tr>
      <w:tr w14:paraId="167851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14:paraId="642929BF">
            <w:pPr>
              <w:pStyle w:val="178"/>
            </w:pPr>
          </w:p>
        </w:tc>
        <w:tc>
          <w:tcPr>
            <w:tcW w:w="567" w:type="dxa"/>
            <w:shd w:val="clear" w:color="auto" w:fill="auto"/>
            <w:vAlign w:val="center"/>
          </w:tcPr>
          <w:p w14:paraId="13903285">
            <w:pPr>
              <w:pStyle w:val="178"/>
            </w:pPr>
          </w:p>
        </w:tc>
        <w:tc>
          <w:tcPr>
            <w:tcW w:w="1701" w:type="dxa"/>
            <w:shd w:val="clear" w:color="auto" w:fill="auto"/>
            <w:vAlign w:val="center"/>
          </w:tcPr>
          <w:p w14:paraId="4DF7623F">
            <w:pPr>
              <w:pStyle w:val="178"/>
            </w:pPr>
          </w:p>
        </w:tc>
        <w:tc>
          <w:tcPr>
            <w:tcW w:w="851" w:type="dxa"/>
            <w:shd w:val="clear" w:color="auto" w:fill="auto"/>
            <w:vAlign w:val="center"/>
          </w:tcPr>
          <w:p w14:paraId="14032455">
            <w:pPr>
              <w:pStyle w:val="178"/>
            </w:pPr>
          </w:p>
        </w:tc>
        <w:tc>
          <w:tcPr>
            <w:tcW w:w="1259" w:type="dxa"/>
            <w:shd w:val="clear" w:color="auto" w:fill="auto"/>
            <w:vAlign w:val="center"/>
          </w:tcPr>
          <w:p w14:paraId="7079D1E7">
            <w:pPr>
              <w:pStyle w:val="178"/>
            </w:pPr>
          </w:p>
        </w:tc>
        <w:tc>
          <w:tcPr>
            <w:tcW w:w="731" w:type="dxa"/>
            <w:shd w:val="clear" w:color="auto" w:fill="auto"/>
            <w:vAlign w:val="center"/>
          </w:tcPr>
          <w:p w14:paraId="59AF9173">
            <w:pPr>
              <w:pStyle w:val="178"/>
            </w:pPr>
          </w:p>
        </w:tc>
        <w:tc>
          <w:tcPr>
            <w:tcW w:w="731" w:type="dxa"/>
            <w:shd w:val="clear" w:color="auto" w:fill="auto"/>
            <w:vAlign w:val="center"/>
          </w:tcPr>
          <w:p w14:paraId="7D053824">
            <w:pPr>
              <w:pStyle w:val="178"/>
            </w:pPr>
          </w:p>
        </w:tc>
        <w:tc>
          <w:tcPr>
            <w:tcW w:w="731" w:type="dxa"/>
            <w:shd w:val="clear" w:color="auto" w:fill="auto"/>
            <w:vAlign w:val="center"/>
          </w:tcPr>
          <w:p w14:paraId="6DC57843">
            <w:pPr>
              <w:pStyle w:val="178"/>
            </w:pPr>
          </w:p>
        </w:tc>
        <w:tc>
          <w:tcPr>
            <w:tcW w:w="811" w:type="dxa"/>
            <w:shd w:val="clear" w:color="auto" w:fill="auto"/>
            <w:vAlign w:val="center"/>
          </w:tcPr>
          <w:p w14:paraId="5EC321CA">
            <w:pPr>
              <w:pStyle w:val="178"/>
            </w:pPr>
          </w:p>
        </w:tc>
        <w:tc>
          <w:tcPr>
            <w:tcW w:w="850" w:type="dxa"/>
            <w:shd w:val="clear" w:color="auto" w:fill="auto"/>
            <w:vAlign w:val="center"/>
          </w:tcPr>
          <w:p w14:paraId="4DBAFC78">
            <w:pPr>
              <w:pStyle w:val="178"/>
            </w:pPr>
          </w:p>
        </w:tc>
        <w:tc>
          <w:tcPr>
            <w:tcW w:w="992" w:type="dxa"/>
            <w:shd w:val="clear" w:color="auto" w:fill="auto"/>
            <w:vAlign w:val="center"/>
          </w:tcPr>
          <w:p w14:paraId="20C9BE2F">
            <w:pPr>
              <w:pStyle w:val="178"/>
            </w:pPr>
          </w:p>
        </w:tc>
        <w:tc>
          <w:tcPr>
            <w:tcW w:w="982" w:type="dxa"/>
            <w:shd w:val="clear" w:color="auto" w:fill="auto"/>
            <w:vAlign w:val="center"/>
          </w:tcPr>
          <w:p w14:paraId="670B5EC1">
            <w:pPr>
              <w:pStyle w:val="178"/>
            </w:pPr>
          </w:p>
        </w:tc>
      </w:tr>
      <w:tr w14:paraId="3E7DD3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14:paraId="5D187EB3">
            <w:pPr>
              <w:pStyle w:val="178"/>
            </w:pPr>
          </w:p>
        </w:tc>
        <w:tc>
          <w:tcPr>
            <w:tcW w:w="567" w:type="dxa"/>
            <w:shd w:val="clear" w:color="auto" w:fill="auto"/>
            <w:vAlign w:val="center"/>
          </w:tcPr>
          <w:p w14:paraId="5F32FBB1">
            <w:pPr>
              <w:pStyle w:val="178"/>
            </w:pPr>
          </w:p>
        </w:tc>
        <w:tc>
          <w:tcPr>
            <w:tcW w:w="1701" w:type="dxa"/>
            <w:shd w:val="clear" w:color="auto" w:fill="auto"/>
            <w:vAlign w:val="center"/>
          </w:tcPr>
          <w:p w14:paraId="01C96314">
            <w:pPr>
              <w:pStyle w:val="178"/>
            </w:pPr>
          </w:p>
        </w:tc>
        <w:tc>
          <w:tcPr>
            <w:tcW w:w="851" w:type="dxa"/>
            <w:shd w:val="clear" w:color="auto" w:fill="auto"/>
            <w:vAlign w:val="center"/>
          </w:tcPr>
          <w:p w14:paraId="1A703D30">
            <w:pPr>
              <w:pStyle w:val="178"/>
            </w:pPr>
          </w:p>
        </w:tc>
        <w:tc>
          <w:tcPr>
            <w:tcW w:w="1259" w:type="dxa"/>
            <w:shd w:val="clear" w:color="auto" w:fill="auto"/>
            <w:vAlign w:val="center"/>
          </w:tcPr>
          <w:p w14:paraId="2085AA0D">
            <w:pPr>
              <w:pStyle w:val="178"/>
            </w:pPr>
          </w:p>
        </w:tc>
        <w:tc>
          <w:tcPr>
            <w:tcW w:w="731" w:type="dxa"/>
            <w:shd w:val="clear" w:color="auto" w:fill="auto"/>
            <w:vAlign w:val="center"/>
          </w:tcPr>
          <w:p w14:paraId="46F896BD">
            <w:pPr>
              <w:pStyle w:val="178"/>
            </w:pPr>
          </w:p>
        </w:tc>
        <w:tc>
          <w:tcPr>
            <w:tcW w:w="731" w:type="dxa"/>
            <w:shd w:val="clear" w:color="auto" w:fill="auto"/>
            <w:vAlign w:val="center"/>
          </w:tcPr>
          <w:p w14:paraId="1B8608F3">
            <w:pPr>
              <w:pStyle w:val="178"/>
            </w:pPr>
          </w:p>
        </w:tc>
        <w:tc>
          <w:tcPr>
            <w:tcW w:w="731" w:type="dxa"/>
            <w:shd w:val="clear" w:color="auto" w:fill="auto"/>
            <w:vAlign w:val="center"/>
          </w:tcPr>
          <w:p w14:paraId="4A4F74A0">
            <w:pPr>
              <w:pStyle w:val="178"/>
            </w:pPr>
          </w:p>
        </w:tc>
        <w:tc>
          <w:tcPr>
            <w:tcW w:w="811" w:type="dxa"/>
            <w:shd w:val="clear" w:color="auto" w:fill="auto"/>
            <w:vAlign w:val="center"/>
          </w:tcPr>
          <w:p w14:paraId="51D67E3C">
            <w:pPr>
              <w:pStyle w:val="178"/>
            </w:pPr>
          </w:p>
        </w:tc>
        <w:tc>
          <w:tcPr>
            <w:tcW w:w="850" w:type="dxa"/>
            <w:shd w:val="clear" w:color="auto" w:fill="auto"/>
            <w:vAlign w:val="center"/>
          </w:tcPr>
          <w:p w14:paraId="2F04B65B">
            <w:pPr>
              <w:pStyle w:val="178"/>
            </w:pPr>
          </w:p>
        </w:tc>
        <w:tc>
          <w:tcPr>
            <w:tcW w:w="992" w:type="dxa"/>
            <w:shd w:val="clear" w:color="auto" w:fill="auto"/>
            <w:vAlign w:val="center"/>
          </w:tcPr>
          <w:p w14:paraId="0700060E">
            <w:pPr>
              <w:pStyle w:val="178"/>
            </w:pPr>
          </w:p>
        </w:tc>
        <w:tc>
          <w:tcPr>
            <w:tcW w:w="982" w:type="dxa"/>
            <w:shd w:val="clear" w:color="auto" w:fill="auto"/>
            <w:vAlign w:val="center"/>
          </w:tcPr>
          <w:p w14:paraId="0AB0E36F">
            <w:pPr>
              <w:pStyle w:val="178"/>
            </w:pPr>
          </w:p>
        </w:tc>
      </w:tr>
      <w:tr w14:paraId="5CC770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14:paraId="62B1A8F2">
            <w:pPr>
              <w:pStyle w:val="178"/>
            </w:pPr>
          </w:p>
        </w:tc>
        <w:tc>
          <w:tcPr>
            <w:tcW w:w="567" w:type="dxa"/>
            <w:shd w:val="clear" w:color="auto" w:fill="auto"/>
            <w:vAlign w:val="center"/>
          </w:tcPr>
          <w:p w14:paraId="767A0B62">
            <w:pPr>
              <w:pStyle w:val="178"/>
            </w:pPr>
          </w:p>
        </w:tc>
        <w:tc>
          <w:tcPr>
            <w:tcW w:w="1701" w:type="dxa"/>
            <w:shd w:val="clear" w:color="auto" w:fill="auto"/>
            <w:vAlign w:val="center"/>
          </w:tcPr>
          <w:p w14:paraId="1862FE8C">
            <w:pPr>
              <w:pStyle w:val="178"/>
            </w:pPr>
          </w:p>
        </w:tc>
        <w:tc>
          <w:tcPr>
            <w:tcW w:w="851" w:type="dxa"/>
            <w:shd w:val="clear" w:color="auto" w:fill="auto"/>
            <w:vAlign w:val="center"/>
          </w:tcPr>
          <w:p w14:paraId="66E085B7">
            <w:pPr>
              <w:pStyle w:val="178"/>
            </w:pPr>
          </w:p>
        </w:tc>
        <w:tc>
          <w:tcPr>
            <w:tcW w:w="1259" w:type="dxa"/>
            <w:shd w:val="clear" w:color="auto" w:fill="auto"/>
            <w:vAlign w:val="center"/>
          </w:tcPr>
          <w:p w14:paraId="32CC3E14">
            <w:pPr>
              <w:pStyle w:val="178"/>
            </w:pPr>
          </w:p>
        </w:tc>
        <w:tc>
          <w:tcPr>
            <w:tcW w:w="731" w:type="dxa"/>
            <w:shd w:val="clear" w:color="auto" w:fill="auto"/>
            <w:vAlign w:val="center"/>
          </w:tcPr>
          <w:p w14:paraId="7AEE9D8B">
            <w:pPr>
              <w:pStyle w:val="178"/>
            </w:pPr>
          </w:p>
        </w:tc>
        <w:tc>
          <w:tcPr>
            <w:tcW w:w="731" w:type="dxa"/>
            <w:shd w:val="clear" w:color="auto" w:fill="auto"/>
            <w:vAlign w:val="center"/>
          </w:tcPr>
          <w:p w14:paraId="12474D5B">
            <w:pPr>
              <w:pStyle w:val="178"/>
            </w:pPr>
          </w:p>
        </w:tc>
        <w:tc>
          <w:tcPr>
            <w:tcW w:w="731" w:type="dxa"/>
            <w:shd w:val="clear" w:color="auto" w:fill="auto"/>
            <w:vAlign w:val="center"/>
          </w:tcPr>
          <w:p w14:paraId="4498F7D6">
            <w:pPr>
              <w:pStyle w:val="178"/>
            </w:pPr>
          </w:p>
        </w:tc>
        <w:tc>
          <w:tcPr>
            <w:tcW w:w="811" w:type="dxa"/>
            <w:shd w:val="clear" w:color="auto" w:fill="auto"/>
            <w:vAlign w:val="center"/>
          </w:tcPr>
          <w:p w14:paraId="6CDEA651">
            <w:pPr>
              <w:pStyle w:val="178"/>
            </w:pPr>
          </w:p>
        </w:tc>
        <w:tc>
          <w:tcPr>
            <w:tcW w:w="850" w:type="dxa"/>
            <w:shd w:val="clear" w:color="auto" w:fill="auto"/>
            <w:vAlign w:val="center"/>
          </w:tcPr>
          <w:p w14:paraId="656ED26E">
            <w:pPr>
              <w:pStyle w:val="178"/>
            </w:pPr>
          </w:p>
        </w:tc>
        <w:tc>
          <w:tcPr>
            <w:tcW w:w="992" w:type="dxa"/>
            <w:shd w:val="clear" w:color="auto" w:fill="auto"/>
            <w:vAlign w:val="center"/>
          </w:tcPr>
          <w:p w14:paraId="1D495BD6">
            <w:pPr>
              <w:pStyle w:val="178"/>
            </w:pPr>
          </w:p>
        </w:tc>
        <w:tc>
          <w:tcPr>
            <w:tcW w:w="982" w:type="dxa"/>
            <w:shd w:val="clear" w:color="auto" w:fill="auto"/>
            <w:vAlign w:val="center"/>
          </w:tcPr>
          <w:p w14:paraId="3BE7E7F7">
            <w:pPr>
              <w:pStyle w:val="178"/>
            </w:pPr>
          </w:p>
        </w:tc>
      </w:tr>
      <w:tr w14:paraId="2B5E5E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14:paraId="7363EB4D">
            <w:pPr>
              <w:pStyle w:val="178"/>
            </w:pPr>
          </w:p>
        </w:tc>
        <w:tc>
          <w:tcPr>
            <w:tcW w:w="567" w:type="dxa"/>
            <w:shd w:val="clear" w:color="auto" w:fill="auto"/>
            <w:vAlign w:val="center"/>
          </w:tcPr>
          <w:p w14:paraId="576C6053">
            <w:pPr>
              <w:pStyle w:val="178"/>
            </w:pPr>
          </w:p>
        </w:tc>
        <w:tc>
          <w:tcPr>
            <w:tcW w:w="1701" w:type="dxa"/>
            <w:shd w:val="clear" w:color="auto" w:fill="auto"/>
            <w:vAlign w:val="center"/>
          </w:tcPr>
          <w:p w14:paraId="104A0B15">
            <w:pPr>
              <w:pStyle w:val="178"/>
            </w:pPr>
          </w:p>
        </w:tc>
        <w:tc>
          <w:tcPr>
            <w:tcW w:w="851" w:type="dxa"/>
            <w:shd w:val="clear" w:color="auto" w:fill="auto"/>
            <w:vAlign w:val="center"/>
          </w:tcPr>
          <w:p w14:paraId="251838A0">
            <w:pPr>
              <w:pStyle w:val="178"/>
            </w:pPr>
          </w:p>
        </w:tc>
        <w:tc>
          <w:tcPr>
            <w:tcW w:w="1259" w:type="dxa"/>
            <w:shd w:val="clear" w:color="auto" w:fill="auto"/>
            <w:vAlign w:val="center"/>
          </w:tcPr>
          <w:p w14:paraId="493DC356">
            <w:pPr>
              <w:pStyle w:val="178"/>
            </w:pPr>
          </w:p>
        </w:tc>
        <w:tc>
          <w:tcPr>
            <w:tcW w:w="731" w:type="dxa"/>
            <w:shd w:val="clear" w:color="auto" w:fill="auto"/>
            <w:vAlign w:val="center"/>
          </w:tcPr>
          <w:p w14:paraId="12504D97">
            <w:pPr>
              <w:pStyle w:val="178"/>
            </w:pPr>
          </w:p>
        </w:tc>
        <w:tc>
          <w:tcPr>
            <w:tcW w:w="731" w:type="dxa"/>
            <w:shd w:val="clear" w:color="auto" w:fill="auto"/>
            <w:vAlign w:val="center"/>
          </w:tcPr>
          <w:p w14:paraId="2E51E553">
            <w:pPr>
              <w:pStyle w:val="178"/>
            </w:pPr>
          </w:p>
        </w:tc>
        <w:tc>
          <w:tcPr>
            <w:tcW w:w="731" w:type="dxa"/>
            <w:shd w:val="clear" w:color="auto" w:fill="auto"/>
            <w:vAlign w:val="center"/>
          </w:tcPr>
          <w:p w14:paraId="2F55AA89">
            <w:pPr>
              <w:pStyle w:val="178"/>
            </w:pPr>
          </w:p>
        </w:tc>
        <w:tc>
          <w:tcPr>
            <w:tcW w:w="811" w:type="dxa"/>
            <w:shd w:val="clear" w:color="auto" w:fill="auto"/>
            <w:vAlign w:val="center"/>
          </w:tcPr>
          <w:p w14:paraId="2478A86B">
            <w:pPr>
              <w:pStyle w:val="178"/>
            </w:pPr>
          </w:p>
        </w:tc>
        <w:tc>
          <w:tcPr>
            <w:tcW w:w="850" w:type="dxa"/>
            <w:shd w:val="clear" w:color="auto" w:fill="auto"/>
            <w:vAlign w:val="center"/>
          </w:tcPr>
          <w:p w14:paraId="6A81EBB9">
            <w:pPr>
              <w:pStyle w:val="178"/>
            </w:pPr>
          </w:p>
        </w:tc>
        <w:tc>
          <w:tcPr>
            <w:tcW w:w="992" w:type="dxa"/>
            <w:shd w:val="clear" w:color="auto" w:fill="auto"/>
            <w:vAlign w:val="center"/>
          </w:tcPr>
          <w:p w14:paraId="02D8E3B3">
            <w:pPr>
              <w:pStyle w:val="178"/>
            </w:pPr>
          </w:p>
        </w:tc>
        <w:tc>
          <w:tcPr>
            <w:tcW w:w="982" w:type="dxa"/>
            <w:shd w:val="clear" w:color="auto" w:fill="auto"/>
            <w:vAlign w:val="center"/>
          </w:tcPr>
          <w:p w14:paraId="06E49987">
            <w:pPr>
              <w:pStyle w:val="178"/>
            </w:pPr>
          </w:p>
        </w:tc>
      </w:tr>
      <w:tr w14:paraId="0588E7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14:paraId="6F1F643E">
            <w:pPr>
              <w:pStyle w:val="178"/>
            </w:pPr>
          </w:p>
        </w:tc>
        <w:tc>
          <w:tcPr>
            <w:tcW w:w="567" w:type="dxa"/>
            <w:shd w:val="clear" w:color="auto" w:fill="auto"/>
            <w:vAlign w:val="center"/>
          </w:tcPr>
          <w:p w14:paraId="6EB41E80">
            <w:pPr>
              <w:pStyle w:val="178"/>
            </w:pPr>
          </w:p>
        </w:tc>
        <w:tc>
          <w:tcPr>
            <w:tcW w:w="1701" w:type="dxa"/>
            <w:shd w:val="clear" w:color="auto" w:fill="auto"/>
            <w:vAlign w:val="center"/>
          </w:tcPr>
          <w:p w14:paraId="4235A781">
            <w:pPr>
              <w:pStyle w:val="178"/>
            </w:pPr>
          </w:p>
        </w:tc>
        <w:tc>
          <w:tcPr>
            <w:tcW w:w="851" w:type="dxa"/>
            <w:shd w:val="clear" w:color="auto" w:fill="auto"/>
            <w:vAlign w:val="center"/>
          </w:tcPr>
          <w:p w14:paraId="4DE6360C">
            <w:pPr>
              <w:pStyle w:val="178"/>
            </w:pPr>
          </w:p>
        </w:tc>
        <w:tc>
          <w:tcPr>
            <w:tcW w:w="1259" w:type="dxa"/>
            <w:shd w:val="clear" w:color="auto" w:fill="auto"/>
            <w:vAlign w:val="center"/>
          </w:tcPr>
          <w:p w14:paraId="5381A0E4">
            <w:pPr>
              <w:pStyle w:val="178"/>
            </w:pPr>
          </w:p>
        </w:tc>
        <w:tc>
          <w:tcPr>
            <w:tcW w:w="731" w:type="dxa"/>
            <w:shd w:val="clear" w:color="auto" w:fill="auto"/>
            <w:vAlign w:val="center"/>
          </w:tcPr>
          <w:p w14:paraId="225C4075">
            <w:pPr>
              <w:pStyle w:val="178"/>
            </w:pPr>
          </w:p>
        </w:tc>
        <w:tc>
          <w:tcPr>
            <w:tcW w:w="731" w:type="dxa"/>
            <w:shd w:val="clear" w:color="auto" w:fill="auto"/>
            <w:vAlign w:val="center"/>
          </w:tcPr>
          <w:p w14:paraId="383567F4">
            <w:pPr>
              <w:pStyle w:val="178"/>
            </w:pPr>
          </w:p>
        </w:tc>
        <w:tc>
          <w:tcPr>
            <w:tcW w:w="731" w:type="dxa"/>
            <w:shd w:val="clear" w:color="auto" w:fill="auto"/>
            <w:vAlign w:val="center"/>
          </w:tcPr>
          <w:p w14:paraId="3095B7DC">
            <w:pPr>
              <w:pStyle w:val="178"/>
            </w:pPr>
          </w:p>
        </w:tc>
        <w:tc>
          <w:tcPr>
            <w:tcW w:w="811" w:type="dxa"/>
            <w:shd w:val="clear" w:color="auto" w:fill="auto"/>
            <w:vAlign w:val="center"/>
          </w:tcPr>
          <w:p w14:paraId="3718FE88">
            <w:pPr>
              <w:pStyle w:val="178"/>
            </w:pPr>
          </w:p>
        </w:tc>
        <w:tc>
          <w:tcPr>
            <w:tcW w:w="850" w:type="dxa"/>
            <w:shd w:val="clear" w:color="auto" w:fill="auto"/>
            <w:vAlign w:val="center"/>
          </w:tcPr>
          <w:p w14:paraId="5099D29E">
            <w:pPr>
              <w:pStyle w:val="178"/>
            </w:pPr>
          </w:p>
        </w:tc>
        <w:tc>
          <w:tcPr>
            <w:tcW w:w="992" w:type="dxa"/>
            <w:shd w:val="clear" w:color="auto" w:fill="auto"/>
            <w:vAlign w:val="center"/>
          </w:tcPr>
          <w:p w14:paraId="063FFA9E">
            <w:pPr>
              <w:pStyle w:val="178"/>
            </w:pPr>
          </w:p>
        </w:tc>
        <w:tc>
          <w:tcPr>
            <w:tcW w:w="982" w:type="dxa"/>
            <w:shd w:val="clear" w:color="auto" w:fill="auto"/>
            <w:vAlign w:val="center"/>
          </w:tcPr>
          <w:p w14:paraId="6BF90B52">
            <w:pPr>
              <w:pStyle w:val="178"/>
            </w:pPr>
          </w:p>
        </w:tc>
      </w:tr>
      <w:tr w14:paraId="30B3DD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57" w:type="dxa"/>
            <w:shd w:val="clear" w:color="auto" w:fill="auto"/>
            <w:vAlign w:val="center"/>
          </w:tcPr>
          <w:p w14:paraId="394DC875">
            <w:pPr>
              <w:pStyle w:val="178"/>
            </w:pPr>
          </w:p>
        </w:tc>
        <w:tc>
          <w:tcPr>
            <w:tcW w:w="567" w:type="dxa"/>
            <w:shd w:val="clear" w:color="auto" w:fill="auto"/>
            <w:vAlign w:val="center"/>
          </w:tcPr>
          <w:p w14:paraId="15145231">
            <w:pPr>
              <w:pStyle w:val="178"/>
            </w:pPr>
          </w:p>
        </w:tc>
        <w:tc>
          <w:tcPr>
            <w:tcW w:w="1701" w:type="dxa"/>
            <w:shd w:val="clear" w:color="auto" w:fill="auto"/>
            <w:vAlign w:val="center"/>
          </w:tcPr>
          <w:p w14:paraId="4BCA9514">
            <w:pPr>
              <w:pStyle w:val="178"/>
            </w:pPr>
          </w:p>
        </w:tc>
        <w:tc>
          <w:tcPr>
            <w:tcW w:w="851" w:type="dxa"/>
            <w:shd w:val="clear" w:color="auto" w:fill="auto"/>
            <w:vAlign w:val="center"/>
          </w:tcPr>
          <w:p w14:paraId="32D46013">
            <w:pPr>
              <w:pStyle w:val="178"/>
            </w:pPr>
          </w:p>
        </w:tc>
        <w:tc>
          <w:tcPr>
            <w:tcW w:w="1259" w:type="dxa"/>
            <w:shd w:val="clear" w:color="auto" w:fill="auto"/>
            <w:vAlign w:val="center"/>
          </w:tcPr>
          <w:p w14:paraId="5DF3F9DE">
            <w:pPr>
              <w:pStyle w:val="178"/>
            </w:pPr>
          </w:p>
        </w:tc>
        <w:tc>
          <w:tcPr>
            <w:tcW w:w="731" w:type="dxa"/>
            <w:shd w:val="clear" w:color="auto" w:fill="auto"/>
            <w:vAlign w:val="center"/>
          </w:tcPr>
          <w:p w14:paraId="69FC10BB">
            <w:pPr>
              <w:pStyle w:val="178"/>
            </w:pPr>
          </w:p>
        </w:tc>
        <w:tc>
          <w:tcPr>
            <w:tcW w:w="731" w:type="dxa"/>
            <w:shd w:val="clear" w:color="auto" w:fill="auto"/>
            <w:vAlign w:val="center"/>
          </w:tcPr>
          <w:p w14:paraId="468B6D44">
            <w:pPr>
              <w:pStyle w:val="178"/>
            </w:pPr>
          </w:p>
        </w:tc>
        <w:tc>
          <w:tcPr>
            <w:tcW w:w="731" w:type="dxa"/>
            <w:shd w:val="clear" w:color="auto" w:fill="auto"/>
            <w:vAlign w:val="center"/>
          </w:tcPr>
          <w:p w14:paraId="318A0400">
            <w:pPr>
              <w:pStyle w:val="178"/>
            </w:pPr>
          </w:p>
        </w:tc>
        <w:tc>
          <w:tcPr>
            <w:tcW w:w="811" w:type="dxa"/>
            <w:shd w:val="clear" w:color="auto" w:fill="auto"/>
            <w:vAlign w:val="center"/>
          </w:tcPr>
          <w:p w14:paraId="1EDB6C2A">
            <w:pPr>
              <w:pStyle w:val="178"/>
            </w:pPr>
          </w:p>
        </w:tc>
        <w:tc>
          <w:tcPr>
            <w:tcW w:w="850" w:type="dxa"/>
            <w:shd w:val="clear" w:color="auto" w:fill="auto"/>
            <w:vAlign w:val="center"/>
          </w:tcPr>
          <w:p w14:paraId="01A35E80">
            <w:pPr>
              <w:pStyle w:val="178"/>
            </w:pPr>
          </w:p>
        </w:tc>
        <w:tc>
          <w:tcPr>
            <w:tcW w:w="992" w:type="dxa"/>
            <w:shd w:val="clear" w:color="auto" w:fill="auto"/>
            <w:vAlign w:val="center"/>
          </w:tcPr>
          <w:p w14:paraId="718AC416">
            <w:pPr>
              <w:pStyle w:val="178"/>
            </w:pPr>
          </w:p>
        </w:tc>
        <w:tc>
          <w:tcPr>
            <w:tcW w:w="982" w:type="dxa"/>
            <w:shd w:val="clear" w:color="auto" w:fill="auto"/>
            <w:vAlign w:val="center"/>
          </w:tcPr>
          <w:p w14:paraId="69149E03">
            <w:pPr>
              <w:pStyle w:val="178"/>
            </w:pPr>
          </w:p>
        </w:tc>
      </w:tr>
      <w:tr w14:paraId="3D0FFD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14:paraId="15039395">
            <w:pPr>
              <w:pStyle w:val="178"/>
            </w:pPr>
          </w:p>
        </w:tc>
        <w:tc>
          <w:tcPr>
            <w:tcW w:w="567" w:type="dxa"/>
            <w:shd w:val="clear" w:color="auto" w:fill="auto"/>
            <w:vAlign w:val="center"/>
          </w:tcPr>
          <w:p w14:paraId="6C9CC566">
            <w:pPr>
              <w:pStyle w:val="178"/>
            </w:pPr>
          </w:p>
        </w:tc>
        <w:tc>
          <w:tcPr>
            <w:tcW w:w="1701" w:type="dxa"/>
            <w:shd w:val="clear" w:color="auto" w:fill="auto"/>
            <w:vAlign w:val="center"/>
          </w:tcPr>
          <w:p w14:paraId="09B98918">
            <w:pPr>
              <w:pStyle w:val="178"/>
            </w:pPr>
          </w:p>
        </w:tc>
        <w:tc>
          <w:tcPr>
            <w:tcW w:w="851" w:type="dxa"/>
            <w:shd w:val="clear" w:color="auto" w:fill="auto"/>
            <w:vAlign w:val="center"/>
          </w:tcPr>
          <w:p w14:paraId="185B122F">
            <w:pPr>
              <w:pStyle w:val="178"/>
            </w:pPr>
          </w:p>
        </w:tc>
        <w:tc>
          <w:tcPr>
            <w:tcW w:w="1259" w:type="dxa"/>
            <w:shd w:val="clear" w:color="auto" w:fill="auto"/>
            <w:vAlign w:val="center"/>
          </w:tcPr>
          <w:p w14:paraId="389D15BB">
            <w:pPr>
              <w:pStyle w:val="178"/>
            </w:pPr>
          </w:p>
        </w:tc>
        <w:tc>
          <w:tcPr>
            <w:tcW w:w="731" w:type="dxa"/>
            <w:shd w:val="clear" w:color="auto" w:fill="auto"/>
            <w:vAlign w:val="center"/>
          </w:tcPr>
          <w:p w14:paraId="5AD66EF3">
            <w:pPr>
              <w:pStyle w:val="178"/>
            </w:pPr>
          </w:p>
        </w:tc>
        <w:tc>
          <w:tcPr>
            <w:tcW w:w="731" w:type="dxa"/>
            <w:shd w:val="clear" w:color="auto" w:fill="auto"/>
            <w:vAlign w:val="center"/>
          </w:tcPr>
          <w:p w14:paraId="11830299">
            <w:pPr>
              <w:pStyle w:val="178"/>
            </w:pPr>
          </w:p>
        </w:tc>
        <w:tc>
          <w:tcPr>
            <w:tcW w:w="731" w:type="dxa"/>
            <w:shd w:val="clear" w:color="auto" w:fill="auto"/>
            <w:vAlign w:val="center"/>
          </w:tcPr>
          <w:p w14:paraId="32C9D06A">
            <w:pPr>
              <w:pStyle w:val="178"/>
            </w:pPr>
          </w:p>
        </w:tc>
        <w:tc>
          <w:tcPr>
            <w:tcW w:w="811" w:type="dxa"/>
            <w:shd w:val="clear" w:color="auto" w:fill="auto"/>
            <w:vAlign w:val="center"/>
          </w:tcPr>
          <w:p w14:paraId="649BB943">
            <w:pPr>
              <w:pStyle w:val="178"/>
            </w:pPr>
          </w:p>
        </w:tc>
        <w:tc>
          <w:tcPr>
            <w:tcW w:w="850" w:type="dxa"/>
            <w:shd w:val="clear" w:color="auto" w:fill="auto"/>
            <w:vAlign w:val="center"/>
          </w:tcPr>
          <w:p w14:paraId="6EEDCF90">
            <w:pPr>
              <w:pStyle w:val="178"/>
            </w:pPr>
          </w:p>
        </w:tc>
        <w:tc>
          <w:tcPr>
            <w:tcW w:w="992" w:type="dxa"/>
            <w:shd w:val="clear" w:color="auto" w:fill="auto"/>
            <w:vAlign w:val="center"/>
          </w:tcPr>
          <w:p w14:paraId="358E1530">
            <w:pPr>
              <w:pStyle w:val="178"/>
            </w:pPr>
          </w:p>
        </w:tc>
        <w:tc>
          <w:tcPr>
            <w:tcW w:w="982" w:type="dxa"/>
            <w:shd w:val="clear" w:color="auto" w:fill="auto"/>
            <w:vAlign w:val="center"/>
          </w:tcPr>
          <w:p w14:paraId="179E3DD7">
            <w:pPr>
              <w:pStyle w:val="178"/>
            </w:pPr>
          </w:p>
        </w:tc>
      </w:tr>
      <w:tr w14:paraId="67F77B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14:paraId="78F5FDF5">
            <w:pPr>
              <w:pStyle w:val="178"/>
            </w:pPr>
          </w:p>
        </w:tc>
        <w:tc>
          <w:tcPr>
            <w:tcW w:w="567" w:type="dxa"/>
            <w:shd w:val="clear" w:color="auto" w:fill="auto"/>
            <w:vAlign w:val="center"/>
          </w:tcPr>
          <w:p w14:paraId="47E5248F">
            <w:pPr>
              <w:pStyle w:val="178"/>
            </w:pPr>
          </w:p>
        </w:tc>
        <w:tc>
          <w:tcPr>
            <w:tcW w:w="1701" w:type="dxa"/>
            <w:shd w:val="clear" w:color="auto" w:fill="auto"/>
            <w:vAlign w:val="center"/>
          </w:tcPr>
          <w:p w14:paraId="79D74E34">
            <w:pPr>
              <w:pStyle w:val="178"/>
            </w:pPr>
          </w:p>
        </w:tc>
        <w:tc>
          <w:tcPr>
            <w:tcW w:w="851" w:type="dxa"/>
            <w:shd w:val="clear" w:color="auto" w:fill="auto"/>
            <w:vAlign w:val="center"/>
          </w:tcPr>
          <w:p w14:paraId="26CCA02E">
            <w:pPr>
              <w:pStyle w:val="178"/>
            </w:pPr>
          </w:p>
        </w:tc>
        <w:tc>
          <w:tcPr>
            <w:tcW w:w="1259" w:type="dxa"/>
            <w:shd w:val="clear" w:color="auto" w:fill="auto"/>
            <w:vAlign w:val="center"/>
          </w:tcPr>
          <w:p w14:paraId="713E203B">
            <w:pPr>
              <w:pStyle w:val="178"/>
            </w:pPr>
          </w:p>
        </w:tc>
        <w:tc>
          <w:tcPr>
            <w:tcW w:w="731" w:type="dxa"/>
            <w:shd w:val="clear" w:color="auto" w:fill="auto"/>
            <w:vAlign w:val="center"/>
          </w:tcPr>
          <w:p w14:paraId="00722FF9">
            <w:pPr>
              <w:pStyle w:val="178"/>
            </w:pPr>
          </w:p>
        </w:tc>
        <w:tc>
          <w:tcPr>
            <w:tcW w:w="731" w:type="dxa"/>
            <w:shd w:val="clear" w:color="auto" w:fill="auto"/>
            <w:vAlign w:val="center"/>
          </w:tcPr>
          <w:p w14:paraId="5B3DEFB9">
            <w:pPr>
              <w:pStyle w:val="178"/>
            </w:pPr>
          </w:p>
        </w:tc>
        <w:tc>
          <w:tcPr>
            <w:tcW w:w="731" w:type="dxa"/>
            <w:shd w:val="clear" w:color="auto" w:fill="auto"/>
            <w:vAlign w:val="center"/>
          </w:tcPr>
          <w:p w14:paraId="42FBF1D6">
            <w:pPr>
              <w:pStyle w:val="178"/>
            </w:pPr>
          </w:p>
        </w:tc>
        <w:tc>
          <w:tcPr>
            <w:tcW w:w="811" w:type="dxa"/>
            <w:shd w:val="clear" w:color="auto" w:fill="auto"/>
            <w:vAlign w:val="center"/>
          </w:tcPr>
          <w:p w14:paraId="62A7B022">
            <w:pPr>
              <w:pStyle w:val="178"/>
            </w:pPr>
          </w:p>
        </w:tc>
        <w:tc>
          <w:tcPr>
            <w:tcW w:w="850" w:type="dxa"/>
            <w:shd w:val="clear" w:color="auto" w:fill="auto"/>
            <w:vAlign w:val="center"/>
          </w:tcPr>
          <w:p w14:paraId="3E0968E2">
            <w:pPr>
              <w:pStyle w:val="178"/>
            </w:pPr>
          </w:p>
        </w:tc>
        <w:tc>
          <w:tcPr>
            <w:tcW w:w="992" w:type="dxa"/>
            <w:shd w:val="clear" w:color="auto" w:fill="auto"/>
            <w:vAlign w:val="center"/>
          </w:tcPr>
          <w:p w14:paraId="55CA33F4">
            <w:pPr>
              <w:pStyle w:val="178"/>
            </w:pPr>
          </w:p>
        </w:tc>
        <w:tc>
          <w:tcPr>
            <w:tcW w:w="982" w:type="dxa"/>
            <w:shd w:val="clear" w:color="auto" w:fill="auto"/>
            <w:vAlign w:val="center"/>
          </w:tcPr>
          <w:p w14:paraId="3D60FBC0">
            <w:pPr>
              <w:pStyle w:val="178"/>
            </w:pPr>
          </w:p>
        </w:tc>
      </w:tr>
    </w:tbl>
    <w:p w14:paraId="59C04C89">
      <w:pPr>
        <w:pStyle w:val="56"/>
        <w:ind w:firstLine="420"/>
      </w:pPr>
    </w:p>
    <w:p w14:paraId="15327C88">
      <w:pPr>
        <w:pStyle w:val="56"/>
        <w:ind w:firstLine="420"/>
      </w:pPr>
    </w:p>
    <w:p w14:paraId="33719C4D">
      <w:pPr>
        <w:pStyle w:val="56"/>
        <w:ind w:firstLine="420"/>
      </w:pPr>
    </w:p>
    <w:p w14:paraId="27FE2454">
      <w:pPr>
        <w:pStyle w:val="56"/>
        <w:ind w:firstLine="420"/>
      </w:pPr>
    </w:p>
    <w:bookmarkEnd w:id="44"/>
    <w:p w14:paraId="4C045D9C">
      <w:pPr>
        <w:pStyle w:val="56"/>
        <w:ind w:firstLine="420"/>
      </w:pPr>
    </w:p>
    <w:sectPr>
      <w:headerReference r:id="rId17" w:type="default"/>
      <w:footerReference r:id="rId19" w:type="default"/>
      <w:headerReference r:id="rId18" w:type="even"/>
      <w:footerReference r:id="rId20"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C7FED">
    <w:pPr>
      <w:pStyle w:val="17"/>
    </w:pPr>
    <w:r>
      <w:fldChar w:fldCharType="begin"/>
    </w:r>
    <w:r>
      <w:instrText xml:space="preserve">PAGE   \* MERGEFORMAT</w:instrText>
    </w:r>
    <w:r>
      <w:fldChar w:fldCharType="separate"/>
    </w:r>
    <w:r>
      <w:rPr>
        <w:lang w:val="zh-CN"/>
      </w:rP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87D58">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CE774">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B1851">
    <w:pPr>
      <w:pStyle w:val="5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2BC99">
    <w:pPr>
      <w:pStyle w:val="52"/>
    </w:pPr>
    <w:r>
      <w:fldChar w:fldCharType="begin"/>
    </w:r>
    <w:r>
      <w:instrText xml:space="preserve">PAGE   \* MERGEFORMAT</w:instrText>
    </w:r>
    <w:r>
      <w:fldChar w:fldCharType="separate"/>
    </w:r>
    <w:r>
      <w:rPr>
        <w:lang w:val="zh-CN"/>
      </w:rPr>
      <w:t>3</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8AA7E">
    <w:pPr>
      <w:pStyle w:val="51"/>
    </w:pPr>
    <w:r>
      <w:fldChar w:fldCharType="begin"/>
    </w:r>
    <w:r>
      <w:instrText xml:space="preserve"> PAGE   \* MERGEFORMAT \* MERGEFORMAT </w:instrText>
    </w:r>
    <w:r>
      <w:fldChar w:fldCharType="separate"/>
    </w:r>
    <w: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8A94F">
    <w:pPr>
      <w:pStyle w:val="52"/>
    </w:pPr>
    <w:r>
      <w:fldChar w:fldCharType="begin"/>
    </w:r>
    <w:r>
      <w:instrText xml:space="preserve">PAGE   \* MERGEFORMAT</w:instrText>
    </w:r>
    <w:r>
      <w:fldChar w:fldCharType="separate"/>
    </w:r>
    <w:r>
      <w:rPr>
        <w:lang w:val="zh-CN"/>
      </w:rPr>
      <w:t>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2165E">
    <w:pPr>
      <w:pStyle w:val="51"/>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A166F">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1B899">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89BE4">
    <w:pPr>
      <w:pStyle w:val="61"/>
    </w:pPr>
    <w:r>
      <w:fldChar w:fldCharType="begin"/>
    </w:r>
    <w:r>
      <w:instrText xml:space="preserve"> STYLEREF  标准文件_文件编号  \* MERGEFORMAT </w:instrText>
    </w:r>
    <w:r>
      <w:fldChar w:fldCharType="separate"/>
    </w:r>
    <w:r>
      <w:t>DB 50/T 2024—XXXX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757EF">
    <w:pPr>
      <w:pStyle w:val="62"/>
    </w:pPr>
    <w:r>
      <w:fldChar w:fldCharType="begin"/>
    </w:r>
    <w:r>
      <w:instrText xml:space="preserve"> STYLEREF  标准文件_文件编号 \* MERGEFORMAT </w:instrText>
    </w:r>
    <w:r>
      <w:fldChar w:fldCharType="separate"/>
    </w:r>
    <w:r>
      <w:t>DB 50/T 2024—XXXX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D0371">
    <w:pPr>
      <w:pStyle w:val="61"/>
    </w:pPr>
    <w:r>
      <w:fldChar w:fldCharType="begin"/>
    </w:r>
    <w:r>
      <w:instrText xml:space="preserve"> STYLEREF  标准文件_文件编号  \* MERGEFORMAT </w:instrText>
    </w:r>
    <w:r>
      <w:fldChar w:fldCharType="separate"/>
    </w:r>
    <w:r>
      <w:t>DB 50/T 2024—XXXX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7042F">
    <w:pPr>
      <w:pStyle w:val="62"/>
    </w:pPr>
    <w:r>
      <w:fldChar w:fldCharType="begin"/>
    </w:r>
    <w:r>
      <w:instrText xml:space="preserve"> STYLEREF  标准文件_文件编号 \* MERGEFORMAT </w:instrText>
    </w:r>
    <w:r>
      <w:fldChar w:fldCharType="separate"/>
    </w:r>
    <w:r>
      <w:t>DB 50/T 2024—XXXX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52E37">
    <w:pPr>
      <w:pStyle w:val="61"/>
    </w:pPr>
    <w:r>
      <w:fldChar w:fldCharType="begin"/>
    </w:r>
    <w:r>
      <w:instrText xml:space="preserve"> STYLEREF  标准文件_文件编号  \* MERGEFORMAT </w:instrText>
    </w:r>
    <w:r>
      <w:fldChar w:fldCharType="separate"/>
    </w:r>
    <w:r>
      <w:t>DB 50/T 2024—XXXX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F9FD9">
    <w:pPr>
      <w:pStyle w:val="62"/>
    </w:pPr>
    <w:r>
      <w:fldChar w:fldCharType="begin"/>
    </w:r>
    <w:r>
      <w:instrText xml:space="preserve"> STYLEREF  标准文件_文件编号 \* MERGEFORMAT </w:instrText>
    </w:r>
    <w:r>
      <w:fldChar w:fldCharType="separate"/>
    </w:r>
    <w:r>
      <w:t>DB 50/T 2024—XXXX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3QNBBXOymCwzbgPuAGnqOfcIMh14rSLSnurfrl+kZTEn9AFfP4bgpR9294rSM2velrhUbWtn227cBezC6/nidg==" w:salt="rcAfUAbmyCTRVu8NH0Qor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4D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4D2F"/>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5035"/>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965"/>
    <w:rsid w:val="00302F5F"/>
    <w:rsid w:val="0030441D"/>
    <w:rsid w:val="00306063"/>
    <w:rsid w:val="00313B85"/>
    <w:rsid w:val="00317988"/>
    <w:rsid w:val="00321774"/>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0C0"/>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06A3"/>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44DF"/>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A34"/>
    <w:rsid w:val="00773C1F"/>
    <w:rsid w:val="00774DA4"/>
    <w:rsid w:val="00776599"/>
    <w:rsid w:val="0078114B"/>
    <w:rsid w:val="00781DD2"/>
    <w:rsid w:val="00782777"/>
    <w:rsid w:val="00783ECF"/>
    <w:rsid w:val="0078413A"/>
    <w:rsid w:val="0079183E"/>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799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0948"/>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3AD2"/>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2550"/>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6397"/>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12B4"/>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797A"/>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31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3CA545D"/>
    <w:rsid w:val="5E535813"/>
    <w:rsid w:val="5EEE43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uiPriority w:val="0"/>
    <w:rPr>
      <w:b/>
      <w:bCs/>
      <w:kern w:val="2"/>
      <w:sz w:val="32"/>
      <w:szCs w:val="32"/>
    </w:rPr>
  </w:style>
  <w:style w:type="character" w:customStyle="1" w:styleId="37">
    <w:name w:val="标题 4 Char"/>
    <w:link w:val="5"/>
    <w:uiPriority w:val="0"/>
    <w:rPr>
      <w:rFonts w:ascii="Arial" w:hAnsi="Arial" w:eastAsia="黑体"/>
      <w:b/>
      <w:bCs/>
      <w:kern w:val="2"/>
      <w:sz w:val="28"/>
      <w:szCs w:val="28"/>
    </w:rPr>
  </w:style>
  <w:style w:type="character" w:customStyle="1" w:styleId="38">
    <w:name w:val="标题 5 Char"/>
    <w:link w:val="6"/>
    <w:uiPriority w:val="0"/>
    <w:rPr>
      <w:b/>
      <w:bCs/>
      <w:kern w:val="2"/>
      <w:sz w:val="28"/>
      <w:szCs w:val="28"/>
    </w:rPr>
  </w:style>
  <w:style w:type="character" w:customStyle="1" w:styleId="39">
    <w:name w:val="标题 6 Char"/>
    <w:link w:val="7"/>
    <w:uiPriority w:val="0"/>
    <w:rPr>
      <w:rFonts w:ascii="Arial" w:hAnsi="Arial" w:eastAsia="黑体"/>
      <w:b/>
      <w:bCs/>
      <w:kern w:val="2"/>
      <w:sz w:val="24"/>
      <w:szCs w:val="24"/>
    </w:rPr>
  </w:style>
  <w:style w:type="character" w:customStyle="1" w:styleId="40">
    <w:name w:val="标题 7 Char"/>
    <w:link w:val="8"/>
    <w:uiPriority w:val="0"/>
    <w:rPr>
      <w:b/>
      <w:bCs/>
      <w:kern w:val="2"/>
      <w:sz w:val="24"/>
      <w:szCs w:val="24"/>
    </w:rPr>
  </w:style>
  <w:style w:type="character" w:customStyle="1" w:styleId="41">
    <w:name w:val="标题 8 Char"/>
    <w:link w:val="9"/>
    <w:uiPriority w:val="0"/>
    <w:rPr>
      <w:rFonts w:ascii="Arial" w:hAnsi="Arial" w:eastAsia="黑体"/>
      <w:kern w:val="2"/>
      <w:sz w:val="24"/>
      <w:szCs w:val="24"/>
    </w:rPr>
  </w:style>
  <w:style w:type="character" w:customStyle="1" w:styleId="42">
    <w:name w:val="标题 9 Char"/>
    <w:link w:val="10"/>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uiPriority w:val="99"/>
    <w:rPr>
      <w:rFonts w:ascii="宋体"/>
      <w:kern w:val="2"/>
      <w:sz w:val="18"/>
      <w:szCs w:val="18"/>
    </w:rPr>
  </w:style>
  <w:style w:type="character" w:customStyle="1" w:styleId="45">
    <w:name w:val="批注框文本 Char"/>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tiff"/><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917B4A6CD304406BB15FB6BC4025DC9"/>
        <w:style w:val=""/>
        <w:category>
          <w:name w:val="常规"/>
          <w:gallery w:val="placeholder"/>
        </w:category>
        <w:types>
          <w:type w:val="bbPlcHdr"/>
        </w:types>
        <w:behaviors>
          <w:behavior w:val="content"/>
        </w:behaviors>
        <w:description w:val=""/>
        <w:guid w:val="{CE1DB0DA-4B4F-4269-83BC-99787C2DAD1A}"/>
      </w:docPartPr>
      <w:docPartBody>
        <w:p w14:paraId="041B2903">
          <w:pPr>
            <w:pStyle w:val="5"/>
          </w:pPr>
          <w:r>
            <w:rPr>
              <w:rStyle w:val="4"/>
              <w:rFonts w:hint="eastAsia"/>
            </w:rPr>
            <w:t>单击或点击此处输入文字。</w:t>
          </w:r>
        </w:p>
      </w:docPartBody>
    </w:docPart>
    <w:docPart>
      <w:docPartPr>
        <w:name w:val="1E1B1504F2E9478EBF8D79ED48F1E75A"/>
        <w:style w:val=""/>
        <w:category>
          <w:name w:val="常规"/>
          <w:gallery w:val="placeholder"/>
        </w:category>
        <w:types>
          <w:type w:val="bbPlcHdr"/>
        </w:types>
        <w:behaviors>
          <w:behavior w:val="content"/>
        </w:behaviors>
        <w:description w:val=""/>
        <w:guid w:val="{C1D441A7-34AE-47FC-9CD7-3DB6295F0B59}"/>
      </w:docPartPr>
      <w:docPartBody>
        <w:p w14:paraId="53463365">
          <w:pPr>
            <w:pStyle w:val="6"/>
          </w:pPr>
          <w:r>
            <w:rPr>
              <w:rStyle w:val="4"/>
              <w:rFonts w:hint="eastAsia"/>
            </w:rPr>
            <w:t>选择一项。</w:t>
          </w:r>
        </w:p>
      </w:docPartBody>
    </w:docPart>
    <w:docPart>
      <w:docPartPr>
        <w:name w:val="1F44B80E88884173A47B11F6F6A85A83"/>
        <w:style w:val=""/>
        <w:category>
          <w:name w:val="常规"/>
          <w:gallery w:val="placeholder"/>
        </w:category>
        <w:types>
          <w:type w:val="bbPlcHdr"/>
        </w:types>
        <w:behaviors>
          <w:behavior w:val="content"/>
        </w:behaviors>
        <w:description w:val=""/>
        <w:guid w:val="{2565F143-FAB9-487E-A021-DA7F418E9D23}"/>
      </w:docPartPr>
      <w:docPartBody>
        <w:p w14:paraId="6757688F">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956"/>
    <w:rsid w:val="00587956"/>
    <w:rsid w:val="00BA19D0"/>
    <w:rsid w:val="00E05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917B4A6CD304406BB15FB6BC4025DC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1E1B1504F2E9478EBF8D79ED48F1E75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F44B80E88884173A47B11F6F6A85A83"/>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C3AF62-EC62-4519-BEB6-79D46FD62298}">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6</Pages>
  <Words>2213</Words>
  <Characters>2456</Characters>
  <Lines>286</Lines>
  <Paragraphs>257</Paragraphs>
  <TotalTime>1</TotalTime>
  <ScaleCrop>false</ScaleCrop>
  <LinksUpToDate>false</LinksUpToDate>
  <CharactersWithSpaces>2502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2024-08-19T06:36:00Z</dcterms:created>
  <dc:creator>Windows User</dc:creator>
  <dc:description>&lt;config cover="true" show_menu="true" version="1.0.0" doctype="SDKXY"&gt;_x000d_
&lt;/config&gt;</dc:description>
  <cp:lastModifiedBy>廖爱玲</cp:lastModifiedBy>
  <cp:lastPrinted>2024-08-19T06:37:00Z</cp:lastPrinted>
  <dcterms:modified xsi:type="dcterms:W3CDTF">2025-02-18T05:53:51Z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TemplateDocerSaveRecord">
    <vt:lpwstr>eyJoZGlkIjoiN2RhNzYxNGRhZmViOGJmOTA2ZjI3MmQyNjMxZTNiM2UiLCJ1c2VySWQiOiIzMDU1NjA4NzYifQ==</vt:lpwstr>
  </property>
  <property fmtid="{D5CDD505-2E9C-101B-9397-08002B2CF9AE}" pid="16" name="KSOProductBuildVer">
    <vt:lpwstr>2052-12.1.0.19770</vt:lpwstr>
  </property>
  <property fmtid="{D5CDD505-2E9C-101B-9397-08002B2CF9AE}" pid="17" name="ICV">
    <vt:lpwstr>04D59081C9A14A49826E2542B0BADD12_12</vt:lpwstr>
  </property>
</Properties>
</file>